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9425D6A"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2444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01168B">
        <w:rPr>
          <w:rFonts w:ascii="GHEA Grapalat" w:hAnsi="GHEA Grapalat"/>
          <w:b/>
          <w:bCs/>
          <w:lang w:val="hy-AM"/>
        </w:rPr>
        <w:t>փետր</w:t>
      </w:r>
      <w:r w:rsidR="00B2444A">
        <w:rPr>
          <w:rFonts w:ascii="GHEA Grapalat" w:hAnsi="GHEA Grapalat"/>
          <w:b/>
          <w:bCs/>
          <w:lang w:val="hy-AM"/>
        </w:rPr>
        <w:t>վար</w:t>
      </w:r>
      <w:r w:rsidR="001B5403">
        <w:rPr>
          <w:rFonts w:ascii="GHEA Grapalat" w:hAnsi="GHEA Grapalat"/>
          <w:b/>
          <w:bCs/>
          <w:lang w:val="hy-AM"/>
        </w:rPr>
        <w:t>ի</w:t>
      </w:r>
      <w:r w:rsidRPr="002F76E3">
        <w:rPr>
          <w:rFonts w:ascii="GHEA Grapalat" w:hAnsi="GHEA Grapalat"/>
          <w:b/>
          <w:bCs/>
          <w:lang w:val="hy-AM"/>
        </w:rPr>
        <w:t xml:space="preserve"> </w:t>
      </w:r>
      <w:r w:rsidR="009C50A3">
        <w:rPr>
          <w:rFonts w:ascii="GHEA Grapalat" w:hAnsi="GHEA Grapalat"/>
          <w:b/>
          <w:bCs/>
          <w:lang w:val="hy-AM"/>
        </w:rPr>
        <w:t>24</w:t>
      </w:r>
      <w:r w:rsidRPr="002F76E3">
        <w:rPr>
          <w:rFonts w:ascii="GHEA Grapalat" w:hAnsi="GHEA Grapalat"/>
          <w:b/>
          <w:bCs/>
          <w:lang w:val="hy-AM"/>
        </w:rPr>
        <w:t xml:space="preserve">-ին, ժամը՝ </w:t>
      </w:r>
      <w:r w:rsidR="0001168B">
        <w:rPr>
          <w:rFonts w:ascii="GHEA Grapalat" w:hAnsi="GHEA Grapalat"/>
          <w:b/>
          <w:bCs/>
          <w:lang w:val="hy-AM"/>
        </w:rPr>
        <w:t>11</w:t>
      </w:r>
      <w:r w:rsidRPr="002F76E3">
        <w:rPr>
          <w:rFonts w:ascii="GHEA Grapalat" w:hAnsi="GHEA Grapalat"/>
          <w:b/>
          <w:bCs/>
          <w:lang w:val="hy-AM"/>
        </w:rPr>
        <w:t>:</w:t>
      </w:r>
      <w:r w:rsidR="0001168B">
        <w:rPr>
          <w:rFonts w:ascii="GHEA Grapalat" w:hAnsi="GHEA Grapalat"/>
          <w:b/>
          <w:bCs/>
          <w:lang w:val="hy-AM"/>
        </w:rPr>
        <w:t>0</w:t>
      </w:r>
      <w:r w:rsidRPr="002F76E3">
        <w:rPr>
          <w:rFonts w:ascii="GHEA Grapalat" w:hAnsi="GHEA Grapalat"/>
          <w:b/>
          <w:bCs/>
          <w:lang w:val="hy-AM"/>
        </w:rPr>
        <w:t xml:space="preserve">0-ին </w:t>
      </w:r>
      <w:r w:rsidR="00B2444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052C052"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օգոստոսի </w:t>
      </w:r>
      <w:r>
        <w:rPr>
          <w:rFonts w:ascii="GHEA Grapalat" w:hAnsi="GHEA Grapalat"/>
          <w:b/>
          <w:bCs/>
          <w:lang w:val="hy-AM"/>
        </w:rPr>
        <w:t>22</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1349</w:t>
      </w:r>
      <w:r w:rsidRPr="002F76E3">
        <w:rPr>
          <w:rFonts w:ascii="GHEA Grapalat" w:hAnsi="GHEA Grapalat"/>
          <w:b/>
          <w:bCs/>
          <w:lang w:val="hy-AM"/>
        </w:rPr>
        <w:t>-Ա որոշ</w:t>
      </w:r>
      <w:r>
        <w:rPr>
          <w:rFonts w:ascii="GHEA Grapalat" w:hAnsi="GHEA Grapalat"/>
          <w:b/>
          <w:bCs/>
          <w:lang w:val="hy-AM"/>
        </w:rPr>
        <w:t>մամբ</w:t>
      </w:r>
      <w:bookmarkEnd w:id="0"/>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61"/>
        <w:gridCol w:w="906"/>
        <w:gridCol w:w="1675"/>
        <w:gridCol w:w="937"/>
        <w:gridCol w:w="3304"/>
        <w:gridCol w:w="1139"/>
        <w:gridCol w:w="1042"/>
        <w:gridCol w:w="1175"/>
        <w:gridCol w:w="1155"/>
        <w:gridCol w:w="867"/>
        <w:gridCol w:w="1134"/>
      </w:tblGrid>
      <w:tr w:rsidR="00635DA5" w:rsidRPr="003E247A" w14:paraId="6573C837" w14:textId="77777777" w:rsidTr="0001168B">
        <w:trPr>
          <w:trHeight w:val="1136"/>
          <w:jc w:val="center"/>
        </w:trPr>
        <w:tc>
          <w:tcPr>
            <w:tcW w:w="645"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61"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906"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(լոտի) անվանումը</w:t>
            </w:r>
          </w:p>
        </w:tc>
        <w:tc>
          <w:tcPr>
            <w:tcW w:w="167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Հասցե</w:t>
            </w:r>
          </w:p>
        </w:tc>
        <w:tc>
          <w:tcPr>
            <w:tcW w:w="937"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Մասնաշենքի մակերեսը                         /քառ. մետր/</w:t>
            </w:r>
          </w:p>
        </w:tc>
        <w:tc>
          <w:tcPr>
            <w:tcW w:w="3304"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Հողամասի մակերեսը                                                              /հեկտար/</w:t>
            </w:r>
          </w:p>
        </w:tc>
        <w:tc>
          <w:tcPr>
            <w:tcW w:w="1139"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գնահատված արժեքը                                /ՀՀ դրամ/</w:t>
            </w:r>
          </w:p>
        </w:tc>
        <w:tc>
          <w:tcPr>
            <w:tcW w:w="1042" w:type="dxa"/>
            <w:vAlign w:val="center"/>
          </w:tcPr>
          <w:p w14:paraId="4BA1C311" w14:textId="5E6F3FCA" w:rsidR="005A60C2" w:rsidRPr="003E247A" w:rsidRDefault="0001168B"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Հ</w:t>
            </w:r>
            <w:r w:rsidR="005A60C2" w:rsidRPr="003E247A">
              <w:rPr>
                <w:rFonts w:ascii="GHEA Grapalat" w:eastAsia="Times New Roman" w:hAnsi="GHEA Grapalat" w:cs="Calibri"/>
                <w:b/>
                <w:bCs/>
                <w:sz w:val="14"/>
                <w:szCs w:val="14"/>
              </w:rPr>
              <w:t>ողի շուկայական արժեքին մոտարկված կադաստրային արժեքը</w:t>
            </w:r>
          </w:p>
        </w:tc>
        <w:tc>
          <w:tcPr>
            <w:tcW w:w="1175"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Լոտի մեկնարկային գինը</w:t>
            </w:r>
            <w:r w:rsidRPr="003E247A">
              <w:rPr>
                <w:rFonts w:ascii="GHEA Grapalat" w:eastAsia="Times New Roman" w:hAnsi="GHEA Grapalat" w:cs="Calibri"/>
                <w:b/>
                <w:bCs/>
                <w:sz w:val="14"/>
                <w:szCs w:val="14"/>
              </w:rPr>
              <w:br/>
              <w:t>/ՀՀ դրամ/</w:t>
            </w:r>
          </w:p>
        </w:tc>
        <w:tc>
          <w:tcPr>
            <w:tcW w:w="1155"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Նախավճարը                   /ՀՀ դրամ/</w:t>
            </w:r>
          </w:p>
        </w:tc>
        <w:tc>
          <w:tcPr>
            <w:tcW w:w="867" w:type="dxa"/>
            <w:vAlign w:val="center"/>
          </w:tcPr>
          <w:p w14:paraId="6E51605F" w14:textId="28B0B0D2" w:rsidR="005A60C2" w:rsidRPr="003E247A" w:rsidRDefault="0001168B"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Ն</w:t>
            </w:r>
            <w:r w:rsidR="005A60C2" w:rsidRPr="003E247A">
              <w:rPr>
                <w:rFonts w:ascii="GHEA Grapalat" w:eastAsia="Times New Roman" w:hAnsi="GHEA Grapalat" w:cs="Calibri"/>
                <w:b/>
                <w:bCs/>
                <w:sz w:val="14"/>
                <w:szCs w:val="14"/>
              </w:rPr>
              <w:t>վազագույն գնային հավելումի չափը</w:t>
            </w:r>
          </w:p>
        </w:tc>
        <w:tc>
          <w:tcPr>
            <w:tcW w:w="1134"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 xml:space="preserve">Գույքի արժեքի որոշման համար նախատեսված գումարը </w:t>
            </w:r>
            <w:r w:rsidRPr="003E247A">
              <w:rPr>
                <w:rFonts w:ascii="GHEA Grapalat" w:eastAsia="Times New Roman" w:hAnsi="GHEA Grapalat" w:cs="Calibri"/>
                <w:b/>
                <w:bCs/>
                <w:sz w:val="14"/>
                <w:szCs w:val="14"/>
              </w:rPr>
              <w:br/>
              <w:t>/ՀՀ դրամ/</w:t>
            </w:r>
          </w:p>
        </w:tc>
      </w:tr>
      <w:tr w:rsidR="003E247A" w:rsidRPr="003E247A" w14:paraId="708D35C4" w14:textId="77777777" w:rsidTr="0001168B">
        <w:trPr>
          <w:trHeight w:val="1846"/>
          <w:jc w:val="center"/>
        </w:trPr>
        <w:tc>
          <w:tcPr>
            <w:tcW w:w="645"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61"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906"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75" w:type="dxa"/>
            <w:shd w:val="clear" w:color="auto" w:fill="auto"/>
            <w:vAlign w:val="center"/>
          </w:tcPr>
          <w:p w14:paraId="682BD0C1" w14:textId="25BDCC7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ք. Երևան, Արաբկիր, Ն. Զարյան փողոց 22 շենք, 11 տարածք (17042024-01-0040)</w:t>
            </w:r>
          </w:p>
        </w:tc>
        <w:tc>
          <w:tcPr>
            <w:tcW w:w="937" w:type="dxa"/>
            <w:shd w:val="clear" w:color="auto" w:fill="auto"/>
            <w:vAlign w:val="center"/>
          </w:tcPr>
          <w:p w14:paraId="73F4763E" w14:textId="5AC9539D"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537.3</w:t>
            </w:r>
          </w:p>
        </w:tc>
        <w:tc>
          <w:tcPr>
            <w:tcW w:w="3304" w:type="dxa"/>
            <w:shd w:val="clear" w:color="auto" w:fill="auto"/>
            <w:vAlign w:val="center"/>
          </w:tcPr>
          <w:p w14:paraId="04692B94" w14:textId="18D80E41"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Շենքի պահպանման և սպասարկման համար հատկացված 0.300644 հա մակերեսով հողամասի և շենքի ընդհանուր բաժնային սեփականության գույքի նկատմամբ սեփականատիրոջ /սեփականատերերի/ բաժնեմասը կազմում է 537/4683, 0.01251 հա հողամասը ծանրաբեռնված է սերվիտուտով:</w:t>
            </w:r>
          </w:p>
        </w:tc>
        <w:tc>
          <w:tcPr>
            <w:tcW w:w="1139" w:type="dxa"/>
            <w:vMerge w:val="restart"/>
            <w:shd w:val="clear" w:color="auto" w:fill="auto"/>
            <w:vAlign w:val="center"/>
          </w:tcPr>
          <w:p w14:paraId="51B97467" w14:textId="2B319AD2"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277 100 000</w:t>
            </w:r>
          </w:p>
        </w:tc>
        <w:tc>
          <w:tcPr>
            <w:tcW w:w="1042" w:type="dxa"/>
            <w:vAlign w:val="center"/>
          </w:tcPr>
          <w:p w14:paraId="52B370A1" w14:textId="4952187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pacing w:val="-8"/>
                <w:sz w:val="14"/>
                <w:szCs w:val="14"/>
              </w:rPr>
              <w:t>31 239 437</w:t>
            </w:r>
          </w:p>
        </w:tc>
        <w:tc>
          <w:tcPr>
            <w:tcW w:w="1175" w:type="dxa"/>
            <w:vMerge w:val="restart"/>
            <w:shd w:val="clear" w:color="auto" w:fill="auto"/>
            <w:vAlign w:val="center"/>
          </w:tcPr>
          <w:p w14:paraId="48F4A8D4" w14:textId="073017B0" w:rsidR="003E247A" w:rsidRPr="003E247A" w:rsidRDefault="003E247A" w:rsidP="003E247A">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277 100 000</w:t>
            </w:r>
          </w:p>
        </w:tc>
        <w:tc>
          <w:tcPr>
            <w:tcW w:w="1155" w:type="dxa"/>
            <w:vMerge w:val="restart"/>
            <w:shd w:val="clear" w:color="auto" w:fill="auto"/>
            <w:vAlign w:val="center"/>
          </w:tcPr>
          <w:p w14:paraId="6CFDACC6" w14:textId="3936820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27 710 000</w:t>
            </w:r>
          </w:p>
        </w:tc>
        <w:tc>
          <w:tcPr>
            <w:tcW w:w="867" w:type="dxa"/>
            <w:vMerge w:val="restart"/>
            <w:vAlign w:val="center"/>
          </w:tcPr>
          <w:p w14:paraId="5ADA0703" w14:textId="3AF00FB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 xml:space="preserve">277 100 </w:t>
            </w:r>
          </w:p>
        </w:tc>
        <w:tc>
          <w:tcPr>
            <w:tcW w:w="1134" w:type="dxa"/>
            <w:vMerge w:val="restart"/>
            <w:shd w:val="clear" w:color="auto" w:fill="auto"/>
            <w:vAlign w:val="center"/>
          </w:tcPr>
          <w:p w14:paraId="794BEB42" w14:textId="395D283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pacing w:val="-8"/>
                <w:sz w:val="14"/>
                <w:szCs w:val="14"/>
              </w:rPr>
              <w:t>361</w:t>
            </w:r>
            <w:r w:rsidR="00D80263">
              <w:rPr>
                <w:rFonts w:ascii="GHEA Grapalat" w:hAnsi="GHEA Grapalat"/>
                <w:color w:val="000000" w:themeColor="text1"/>
                <w:spacing w:val="-8"/>
                <w:sz w:val="14"/>
                <w:szCs w:val="14"/>
              </w:rPr>
              <w:t xml:space="preserve"> </w:t>
            </w:r>
            <w:r w:rsidRPr="003E247A">
              <w:rPr>
                <w:rFonts w:ascii="GHEA Grapalat" w:hAnsi="GHEA Grapalat"/>
                <w:color w:val="000000" w:themeColor="text1"/>
                <w:spacing w:val="-8"/>
                <w:sz w:val="14"/>
                <w:szCs w:val="14"/>
              </w:rPr>
              <w:t>428</w:t>
            </w:r>
          </w:p>
        </w:tc>
      </w:tr>
      <w:tr w:rsidR="003E247A" w:rsidRPr="003E247A" w14:paraId="00FAF59A" w14:textId="77777777" w:rsidTr="0001168B">
        <w:trPr>
          <w:trHeight w:val="1866"/>
          <w:jc w:val="center"/>
        </w:trPr>
        <w:tc>
          <w:tcPr>
            <w:tcW w:w="645"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61"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906"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75" w:type="dxa"/>
            <w:shd w:val="clear" w:color="auto" w:fill="auto"/>
            <w:vAlign w:val="center"/>
            <w:hideMark/>
          </w:tcPr>
          <w:p w14:paraId="6670E3FE" w14:textId="6E8BCC5B"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ք. Երևան, Արաբկիր, Ն. Զարյան փողոց 22 շենք, 14 տարածք (04082023-01-0202)</w:t>
            </w:r>
          </w:p>
        </w:tc>
        <w:tc>
          <w:tcPr>
            <w:tcW w:w="937" w:type="dxa"/>
            <w:shd w:val="clear" w:color="auto" w:fill="auto"/>
            <w:vAlign w:val="center"/>
            <w:hideMark/>
          </w:tcPr>
          <w:p w14:paraId="13E77160" w14:textId="0FB9B92E"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72</w:t>
            </w:r>
            <w:r w:rsidRPr="003E247A">
              <w:rPr>
                <w:rFonts w:ascii="GHEA Grapalat" w:eastAsia="Times New Roman" w:hAnsi="GHEA Grapalat" w:cs="Calibri"/>
                <w:sz w:val="14"/>
                <w:szCs w:val="14"/>
              </w:rPr>
              <w:br/>
              <w:t xml:space="preserve"> </w:t>
            </w:r>
          </w:p>
        </w:tc>
        <w:tc>
          <w:tcPr>
            <w:tcW w:w="3304" w:type="dxa"/>
            <w:shd w:val="clear" w:color="auto" w:fill="auto"/>
            <w:vAlign w:val="center"/>
            <w:hideMark/>
          </w:tcPr>
          <w:p w14:paraId="30F52B25" w14:textId="6CA013C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Շենքի պահպանման և սպասարկման համար հատկացված 0.300644 հա մակերեսով հողամասի և շենքի ընդհանուր բաժնային սեփականության գույքի նկատմամբ սեփականատիրոջ /սեփականատերերի/ բաժնեմասը կազմում է 72/4683, 0.01251 հա հողամասը ծանրաբեռնված է սերվիտուտով։</w:t>
            </w:r>
          </w:p>
        </w:tc>
        <w:tc>
          <w:tcPr>
            <w:tcW w:w="1139"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042" w:type="dxa"/>
            <w:vAlign w:val="center"/>
          </w:tcPr>
          <w:p w14:paraId="03DC9E7A" w14:textId="33B4C7AE" w:rsidR="003E247A" w:rsidRPr="003E247A" w:rsidRDefault="00D80263"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4</w:t>
            </w:r>
            <w:r>
              <w:rPr>
                <w:rFonts w:ascii="Calibri" w:eastAsia="Times New Roman" w:hAnsi="Calibri" w:cs="Calibri"/>
                <w:sz w:val="14"/>
                <w:szCs w:val="14"/>
              </w:rPr>
              <w:t> </w:t>
            </w:r>
            <w:r>
              <w:rPr>
                <w:rFonts w:ascii="GHEA Grapalat" w:eastAsia="Times New Roman" w:hAnsi="GHEA Grapalat" w:cs="Calibri"/>
                <w:sz w:val="14"/>
                <w:szCs w:val="14"/>
              </w:rPr>
              <w:t>189 120</w:t>
            </w:r>
          </w:p>
        </w:tc>
        <w:tc>
          <w:tcPr>
            <w:tcW w:w="1175"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55"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867"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134"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01168B">
        <w:trPr>
          <w:trHeight w:val="905"/>
          <w:jc w:val="center"/>
        </w:trPr>
        <w:tc>
          <w:tcPr>
            <w:tcW w:w="14440" w:type="dxa"/>
            <w:gridSpan w:val="12"/>
            <w:vAlign w:val="center"/>
          </w:tcPr>
          <w:p w14:paraId="3C87C41D" w14:textId="174937CB" w:rsidR="00635DA5" w:rsidRPr="00635DA5" w:rsidRDefault="00D80263" w:rsidP="00D80263">
            <w:pPr>
              <w:shd w:val="clear" w:color="auto" w:fill="FFFFFF"/>
              <w:spacing w:after="0" w:line="240" w:lineRule="auto"/>
              <w:jc w:val="center"/>
              <w:textAlignment w:val="center"/>
              <w:rPr>
                <w:rFonts w:ascii="GHEA Grapalat" w:eastAsia="Times New Roman" w:hAnsi="GHEA Grapalat" w:cs="Calibri"/>
                <w:sz w:val="14"/>
                <w:szCs w:val="14"/>
              </w:rPr>
            </w:pPr>
            <w:r>
              <w:rPr>
                <w:rFonts w:ascii="GHEA Grapalat" w:eastAsia="Times New Roman" w:hAnsi="GHEA Grapalat" w:cs="Calibri"/>
                <w:sz w:val="14"/>
                <w:szCs w:val="14"/>
              </w:rPr>
              <w:t xml:space="preserve">Բնութագիր՝ </w:t>
            </w:r>
            <w:r w:rsidR="00635DA5" w:rsidRPr="00635DA5">
              <w:rPr>
                <w:rFonts w:ascii="GHEA Grapalat" w:eastAsia="Times New Roman" w:hAnsi="GHEA Grapalat" w:cs="Calibri"/>
                <w:sz w:val="14"/>
                <w:szCs w:val="14"/>
              </w:rPr>
              <w:t>Կոմերցիոն տարածքի վաճառք ք</w:t>
            </w:r>
            <w:r w:rsidR="00635DA5" w:rsidRPr="00635DA5">
              <w:rPr>
                <w:rFonts w:ascii="Cambria Math" w:eastAsia="Times New Roman" w:hAnsi="Cambria Math" w:cs="Cambria Math"/>
                <w:sz w:val="14"/>
                <w:szCs w:val="14"/>
              </w:rPr>
              <w:t>․</w:t>
            </w:r>
            <w:r w:rsidR="00635DA5" w:rsidRPr="00635DA5">
              <w:rPr>
                <w:rFonts w:ascii="GHEA Grapalat" w:eastAsia="Times New Roman" w:hAnsi="GHEA Grapalat" w:cs="Calibri"/>
                <w:sz w:val="14"/>
                <w:szCs w:val="14"/>
              </w:rPr>
              <w:t xml:space="preserve"> Երևան, Արաբկիր Ն</w:t>
            </w:r>
            <w:r w:rsidR="00635DA5" w:rsidRPr="00635DA5">
              <w:rPr>
                <w:rFonts w:ascii="Cambria Math" w:eastAsia="Times New Roman" w:hAnsi="Cambria Math" w:cs="Cambria Math"/>
                <w:sz w:val="14"/>
                <w:szCs w:val="14"/>
              </w:rPr>
              <w:t>․</w:t>
            </w:r>
            <w:r w:rsidR="00635DA5" w:rsidRPr="00635DA5">
              <w:rPr>
                <w:rFonts w:ascii="GHEA Grapalat" w:eastAsia="Times New Roman" w:hAnsi="GHEA Grapalat" w:cs="Calibri"/>
                <w:sz w:val="14"/>
                <w:szCs w:val="14"/>
              </w:rPr>
              <w:t xml:space="preserve"> Զարյան փողոց 22 շենք 14 տարածք, Շինության տիպը՝ Պանելային, Կահույքի և այլ գույքի առակություն՝ առկա չէ, Մուտք՝ Ընդհանուր (փողոցից), Կայանատեղի՝ հնարավոր է բացօթյա կայանատեղի շենքի դիմաց</w:t>
            </w:r>
            <w:r w:rsidR="00F7343C">
              <w:rPr>
                <w:rFonts w:ascii="GHEA Grapalat" w:eastAsia="Times New Roman" w:hAnsi="GHEA Grapalat" w:cs="Calibri"/>
                <w:sz w:val="14"/>
                <w:szCs w:val="14"/>
              </w:rPr>
              <w:t>։</w:t>
            </w:r>
          </w:p>
          <w:p w14:paraId="5A45AE7F" w14:textId="28A2F81B" w:rsidR="00635DA5" w:rsidRPr="00635DA5" w:rsidRDefault="00635DA5" w:rsidP="00D80263">
            <w:pPr>
              <w:shd w:val="clear" w:color="auto" w:fill="FFFFFF"/>
              <w:spacing w:after="0" w:line="240" w:lineRule="auto"/>
              <w:jc w:val="center"/>
              <w:textAlignment w:val="center"/>
              <w:rPr>
                <w:rFonts w:ascii="GHEA Grapalat" w:eastAsia="Times New Roman" w:hAnsi="GHEA Grapalat" w:cs="Calibri"/>
                <w:sz w:val="14"/>
                <w:szCs w:val="14"/>
              </w:rPr>
            </w:pPr>
            <w:r w:rsidRPr="00635DA5">
              <w:rPr>
                <w:rFonts w:ascii="GHEA Grapalat" w:eastAsia="Times New Roman" w:hAnsi="GHEA Grapalat" w:cs="Calibri"/>
                <w:sz w:val="14"/>
                <w:szCs w:val="14"/>
              </w:rPr>
              <w:t>Կոմերցիոն տարածքի վաճառք</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ք</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Երևան, Արաբկիր Ն</w:t>
            </w:r>
            <w:r w:rsidRPr="00635DA5">
              <w:rPr>
                <w:rFonts w:ascii="Cambria Math" w:eastAsia="Times New Roman" w:hAnsi="Cambria Math" w:cs="Cambria Math"/>
                <w:sz w:val="14"/>
                <w:szCs w:val="14"/>
              </w:rPr>
              <w:t>․</w:t>
            </w:r>
            <w:r w:rsidRPr="00635DA5">
              <w:rPr>
                <w:rFonts w:ascii="GHEA Grapalat" w:eastAsia="Times New Roman" w:hAnsi="GHEA Grapalat" w:cs="Calibri"/>
                <w:sz w:val="14"/>
                <w:szCs w:val="14"/>
              </w:rPr>
              <w:t xml:space="preserve"> Զարյան փողոց 22 շենք 11 տարածք</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36ACB7A3" w14:textId="7019CB8E" w:rsidR="005A60C2" w:rsidRPr="003E247A" w:rsidRDefault="005A60C2" w:rsidP="00D80263">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6E58EEB"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w:t>
      </w:r>
      <w:r w:rsidR="00D80263">
        <w:rPr>
          <w:rFonts w:ascii="GHEA Grapalat" w:hAnsi="GHEA Grapalat"/>
          <w:b/>
          <w:bCs/>
          <w:i/>
          <w:iCs/>
          <w:sz w:val="16"/>
          <w:szCs w:val="16"/>
          <w:lang w:val="hy-AM"/>
        </w:rPr>
        <w:t>22</w:t>
      </w:r>
      <w:r w:rsidRPr="002F76E3">
        <w:rPr>
          <w:rFonts w:ascii="GHEA Grapalat" w:hAnsi="GHEA Grapalat"/>
          <w:b/>
          <w:bCs/>
          <w:i/>
          <w:iCs/>
          <w:sz w:val="16"/>
          <w:szCs w:val="16"/>
          <w:lang w:val="hy-AM"/>
        </w:rPr>
        <w:t>-ի թիվ 1</w:t>
      </w:r>
      <w:r w:rsidR="00D80263">
        <w:rPr>
          <w:rFonts w:ascii="GHEA Grapalat" w:hAnsi="GHEA Grapalat"/>
          <w:b/>
          <w:bCs/>
          <w:i/>
          <w:iCs/>
          <w:sz w:val="16"/>
          <w:szCs w:val="16"/>
          <w:lang w:val="hy-AM"/>
        </w:rPr>
        <w:t>349</w:t>
      </w:r>
      <w:r w:rsidRPr="002F76E3">
        <w:rPr>
          <w:rFonts w:ascii="GHEA Grapalat" w:hAnsi="GHEA Grapalat"/>
          <w:b/>
          <w:bCs/>
          <w:i/>
          <w:iCs/>
          <w:sz w:val="16"/>
          <w:szCs w:val="16"/>
          <w:lang w:val="hy-AM"/>
        </w:rPr>
        <w:t xml:space="preserve">-Ա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8B"/>
    <w:rsid w:val="00044070"/>
    <w:rsid w:val="00060C27"/>
    <w:rsid w:val="00173AF7"/>
    <w:rsid w:val="001B5403"/>
    <w:rsid w:val="002F76E3"/>
    <w:rsid w:val="003468F8"/>
    <w:rsid w:val="00361CF7"/>
    <w:rsid w:val="003E247A"/>
    <w:rsid w:val="00444DE0"/>
    <w:rsid w:val="00495BEA"/>
    <w:rsid w:val="004C3173"/>
    <w:rsid w:val="005A60C2"/>
    <w:rsid w:val="00635DA5"/>
    <w:rsid w:val="0069729F"/>
    <w:rsid w:val="007609A4"/>
    <w:rsid w:val="007A43E7"/>
    <w:rsid w:val="009B6EAA"/>
    <w:rsid w:val="009C50A3"/>
    <w:rsid w:val="00A53AF7"/>
    <w:rsid w:val="00AA133E"/>
    <w:rsid w:val="00B2444A"/>
    <w:rsid w:val="00B846C0"/>
    <w:rsid w:val="00BF0B4B"/>
    <w:rsid w:val="00CD2678"/>
    <w:rsid w:val="00D80263"/>
    <w:rsid w:val="00DE7760"/>
    <w:rsid w:val="00E22626"/>
    <w:rsid w:val="00F7343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1507</Words>
  <Characters>8594</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2024-12-11T12:33:00Z</dcterms:created>
  <dcterms:modified xsi:type="dcterms:W3CDTF">2025-01-21T13:40:00Z</dcterms:modified>
</cp:coreProperties>
</file>