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395DB2BE"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1B63E4">
        <w:rPr>
          <w:rFonts w:ascii="GHEA Grapalat" w:hAnsi="GHEA Grapalat"/>
          <w:b/>
          <w:bCs/>
          <w:lang w:val="hy-AM"/>
        </w:rPr>
        <w:t>հու</w:t>
      </w:r>
      <w:r w:rsidR="001D5EAC">
        <w:rPr>
          <w:rFonts w:ascii="GHEA Grapalat" w:hAnsi="GHEA Grapalat"/>
          <w:b/>
          <w:bCs/>
          <w:lang w:val="hy-AM"/>
        </w:rPr>
        <w:t>լ</w:t>
      </w:r>
      <w:r w:rsidR="001B63E4">
        <w:rPr>
          <w:rFonts w:ascii="GHEA Grapalat" w:hAnsi="GHEA Grapalat"/>
          <w:b/>
          <w:bCs/>
          <w:lang w:val="hy-AM"/>
        </w:rPr>
        <w:t xml:space="preserve">իսի </w:t>
      </w:r>
      <w:r w:rsidR="001D5EAC">
        <w:rPr>
          <w:rFonts w:ascii="GHEA Grapalat" w:hAnsi="GHEA Grapalat"/>
          <w:b/>
          <w:bCs/>
          <w:lang w:val="hy-AM"/>
        </w:rPr>
        <w:t>23</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1D5EAC">
        <w:rPr>
          <w:rFonts w:ascii="GHEA Grapalat" w:hAnsi="GHEA Grapalat"/>
          <w:b/>
          <w:bCs/>
          <w:lang w:val="hy-AM"/>
        </w:rPr>
        <w:t>9</w:t>
      </w:r>
      <w:r w:rsidRPr="003F233D">
        <w:rPr>
          <w:rFonts w:ascii="GHEA Grapalat" w:hAnsi="GHEA Grapalat"/>
          <w:b/>
          <w:bCs/>
          <w:lang w:val="hy-AM"/>
        </w:rPr>
        <w:t>:</w:t>
      </w:r>
      <w:r w:rsidR="001D5EAC">
        <w:rPr>
          <w:rFonts w:ascii="GHEA Grapalat" w:hAnsi="GHEA Grapalat"/>
          <w:b/>
          <w:bCs/>
          <w:lang w:val="hy-AM"/>
        </w:rPr>
        <w:t>1</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w:t>
            </w:r>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r w:rsidRPr="00450C01">
              <w:rPr>
                <w:rFonts w:ascii="GHEA Grapalat" w:eastAsia="Times New Roman" w:hAnsi="GHEA Grapalat" w:cs="Calibri"/>
                <w:b/>
                <w:bCs/>
                <w:kern w:val="0"/>
                <w:sz w:val="14"/>
                <w:szCs w:val="14"/>
                <w14:ligatures w14:val="none"/>
              </w:rPr>
              <w:t>երթական</w:t>
            </w:r>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համարը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(լոտի) անվանումը / </w:t>
            </w:r>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r w:rsidRPr="00450C01">
              <w:rPr>
                <w:rFonts w:ascii="GHEA Grapalat" w:eastAsia="Times New Roman" w:hAnsi="GHEA Grapalat" w:cs="Calibri"/>
                <w:b/>
                <w:bCs/>
                <w:kern w:val="0"/>
                <w:sz w:val="14"/>
                <w:szCs w:val="14"/>
                <w14:ligatures w14:val="none"/>
              </w:rPr>
              <w:t xml:space="preserve"> </w:t>
            </w:r>
            <w:r w:rsidRPr="00450C01">
              <w:rPr>
                <w:rFonts w:ascii="GHEA Grapalat" w:eastAsia="Times New Roman" w:hAnsi="GHEA Grapalat" w:cs="Sylfaen"/>
                <w:b/>
                <w:bCs/>
                <w:kern w:val="0"/>
                <w:sz w:val="14"/>
                <w:szCs w:val="14"/>
                <w14:ligatures w14:val="none"/>
              </w:rPr>
              <w:t>համ</w:t>
            </w:r>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գտնվելու</w:t>
            </w:r>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տեխնիկական</w:t>
            </w:r>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վերաբերյալ</w:t>
            </w:r>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գնահատված արժեքը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 մեկնարկային գինը</w:t>
            </w:r>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Նախավճարը</w:t>
            </w:r>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7366D522"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389</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A964A5D"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155</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600</w:t>
            </w:r>
          </w:p>
        </w:tc>
        <w:tc>
          <w:tcPr>
            <w:tcW w:w="1219" w:type="dxa"/>
            <w:vAlign w:val="center"/>
          </w:tcPr>
          <w:p w14:paraId="2DB1D681" w14:textId="37F06F7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D5EAC"/>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698"/>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C6975"/>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2025-06-25T05:08:00Z</dcterms:modified>
</cp:coreProperties>
</file>