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2D2D58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950CB">
        <w:rPr>
          <w:rFonts w:ascii="GHEA Grapalat" w:hAnsi="GHEA Grapalat"/>
          <w:b/>
          <w:bCs/>
          <w:lang w:val="hy-AM"/>
        </w:rPr>
        <w:t>մայիսի</w:t>
      </w:r>
      <w:r w:rsidR="007E6A0E" w:rsidRPr="00C67BBB">
        <w:rPr>
          <w:rFonts w:ascii="GHEA Grapalat" w:hAnsi="GHEA Grapalat"/>
          <w:b/>
          <w:bCs/>
          <w:lang w:val="hy-AM"/>
        </w:rPr>
        <w:t xml:space="preserve"> </w:t>
      </w:r>
      <w:r w:rsidR="00181ACE">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81ACE">
        <w:rPr>
          <w:rFonts w:ascii="GHEA Grapalat" w:hAnsi="GHEA Grapalat"/>
          <w:b/>
          <w:bCs/>
          <w:lang w:val="hy-AM"/>
        </w:rPr>
        <w:t>1</w:t>
      </w:r>
      <w:r w:rsidR="00C950CB">
        <w:rPr>
          <w:rFonts w:ascii="GHEA Grapalat" w:hAnsi="GHEA Grapalat"/>
          <w:b/>
          <w:bCs/>
          <w:lang w:val="hy-AM"/>
        </w:rPr>
        <w:t>1</w:t>
      </w:r>
      <w:r w:rsidR="00CA12FC">
        <w:rPr>
          <w:rFonts w:ascii="GHEA Grapalat" w:hAnsi="GHEA Grapalat"/>
          <w:b/>
          <w:bCs/>
          <w:lang w:val="hy-AM"/>
        </w:rPr>
        <w:t>։</w:t>
      </w:r>
      <w:r w:rsidR="00181ACE">
        <w:rPr>
          <w:rFonts w:ascii="GHEA Grapalat" w:hAnsi="GHEA Grapalat"/>
          <w:b/>
          <w:bCs/>
          <w:lang w:val="hy-AM"/>
        </w:rPr>
        <w:t>4</w:t>
      </w:r>
      <w:r w:rsidR="00A817B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3787B29F" w:rsidR="00CA4090" w:rsidRPr="00AB701C" w:rsidRDefault="00C950C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3 603 798</w:t>
            </w:r>
          </w:p>
        </w:tc>
        <w:tc>
          <w:tcPr>
            <w:tcW w:w="1265" w:type="dxa"/>
            <w:tcBorders>
              <w:top w:val="single" w:sz="4" w:space="0" w:color="auto"/>
              <w:left w:val="nil"/>
              <w:bottom w:val="single" w:sz="4" w:space="0" w:color="auto"/>
              <w:right w:val="single" w:sz="4" w:space="0" w:color="auto"/>
            </w:tcBorders>
            <w:vAlign w:val="center"/>
            <w:hideMark/>
          </w:tcPr>
          <w:p w14:paraId="26A76C2F" w14:textId="2C1318B3" w:rsidR="00CA4090" w:rsidRPr="00AB701C" w:rsidRDefault="00DD75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C950CB">
              <w:rPr>
                <w:rFonts w:ascii="GHEA Grapalat" w:eastAsia="Times New Roman" w:hAnsi="GHEA Grapalat" w:cs="Calibri"/>
                <w:kern w:val="0"/>
                <w:sz w:val="14"/>
                <w:szCs w:val="14"/>
                <w14:ligatures w14:val="none"/>
              </w:rPr>
              <w:t>081 139</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702D1"/>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ACE"/>
    <w:rsid w:val="00181C44"/>
    <w:rsid w:val="001826CD"/>
    <w:rsid w:val="00183A4C"/>
    <w:rsid w:val="00193297"/>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133B"/>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0C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D7502"/>
    <w:rsid w:val="00DE3D6C"/>
    <w:rsid w:val="00DF4765"/>
    <w:rsid w:val="00DF66C3"/>
    <w:rsid w:val="00E22626"/>
    <w:rsid w:val="00E3288B"/>
    <w:rsid w:val="00E975FA"/>
    <w:rsid w:val="00EA0BD8"/>
    <w:rsid w:val="00EC2E52"/>
    <w:rsid w:val="00EE7A9A"/>
    <w:rsid w:val="00EF2B26"/>
    <w:rsid w:val="00F025B2"/>
    <w:rsid w:val="00F0418D"/>
    <w:rsid w:val="00F066D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1539</Words>
  <Characters>8777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dcterms:created xsi:type="dcterms:W3CDTF">2024-12-30T05:51:00Z</dcterms:created>
  <dcterms:modified xsi:type="dcterms:W3CDTF">2026-04-10T13:08:00Z</dcterms:modified>
</cp:coreProperties>
</file>