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0178A" w14:textId="58CC9757" w:rsidR="00A342B7" w:rsidRPr="0031552B" w:rsidRDefault="0031552B" w:rsidP="0082707A">
      <w:pPr>
        <w:autoSpaceDE w:val="0"/>
        <w:autoSpaceDN w:val="0"/>
        <w:adjustRightInd w:val="0"/>
        <w:spacing w:line="240" w:lineRule="auto"/>
        <w:ind w:left="-360" w:firstLine="360"/>
        <w:jc w:val="right"/>
        <w:rPr>
          <w:rFonts w:ascii="GHEA Grapalat" w:hAnsi="GHEA Grapalat" w:cs="Sylfaen"/>
          <w:u w:val="single"/>
          <w:lang w:val="hy-AM"/>
        </w:rPr>
      </w:pPr>
      <w:r w:rsidRPr="0031552B">
        <w:rPr>
          <w:rFonts w:ascii="GHEA Grapalat" w:hAnsi="GHEA Grapalat" w:cs="Sylfaen"/>
          <w:u w:val="single"/>
          <w:lang w:val="hy-AM"/>
        </w:rPr>
        <w:t>Ձևաչափ 2</w:t>
      </w:r>
    </w:p>
    <w:p w14:paraId="1893DE8E" w14:textId="0A6B960F" w:rsidR="00A342B7" w:rsidRPr="00181720" w:rsidRDefault="002D2493" w:rsidP="00A342B7">
      <w:pPr>
        <w:autoSpaceDE w:val="0"/>
        <w:autoSpaceDN w:val="0"/>
        <w:adjustRightInd w:val="0"/>
        <w:spacing w:line="240" w:lineRule="auto"/>
        <w:jc w:val="center"/>
        <w:rPr>
          <w:rFonts w:ascii="GHEA Grapalat" w:hAnsi="GHEA Grapalat" w:cs="Sylfaen"/>
          <w:b/>
          <w:sz w:val="24"/>
          <w:szCs w:val="24"/>
          <w:lang w:val="hy-AM"/>
        </w:rPr>
      </w:pPr>
      <w:r>
        <w:rPr>
          <w:rFonts w:ascii="GHEA Grapalat" w:hAnsi="GHEA Grapalat" w:cs="Sylfaen"/>
          <w:b/>
          <w:sz w:val="24"/>
          <w:szCs w:val="24"/>
          <w:lang w:val="hy-AM"/>
        </w:rPr>
        <w:t>ՀԱՇՎԵՏՎՈՒԹՅՈՒՆ</w:t>
      </w:r>
    </w:p>
    <w:p w14:paraId="7BCDA3C1" w14:textId="77777777" w:rsidR="00A342B7" w:rsidRPr="00181720" w:rsidRDefault="00A342B7" w:rsidP="00A342B7">
      <w:pPr>
        <w:autoSpaceDE w:val="0"/>
        <w:autoSpaceDN w:val="0"/>
        <w:adjustRightInd w:val="0"/>
        <w:spacing w:line="240" w:lineRule="auto"/>
        <w:jc w:val="center"/>
        <w:rPr>
          <w:rFonts w:ascii="GHEA Grapalat" w:hAnsi="GHEA Grapalat" w:cs="CIDFont+F9"/>
          <w:b/>
          <w:sz w:val="24"/>
          <w:szCs w:val="24"/>
          <w:lang w:val="hy-AM"/>
        </w:rPr>
      </w:pPr>
    </w:p>
    <w:p w14:paraId="1B102FD5" w14:textId="77777777" w:rsidR="006753E2" w:rsidRPr="00391E18" w:rsidRDefault="00BE6B4D" w:rsidP="003421FE">
      <w:pPr>
        <w:autoSpaceDE w:val="0"/>
        <w:autoSpaceDN w:val="0"/>
        <w:adjustRightInd w:val="0"/>
        <w:spacing w:line="240" w:lineRule="auto"/>
        <w:jc w:val="center"/>
        <w:rPr>
          <w:rFonts w:ascii="GHEA Grapalat" w:eastAsia="Times New Roman" w:hAnsi="GHEA Grapalat" w:cs="Times New Roman"/>
          <w:b/>
          <w:bCs/>
          <w:sz w:val="24"/>
          <w:szCs w:val="24"/>
          <w:lang w:val="hy-AM"/>
        </w:rPr>
      </w:pPr>
      <w:r>
        <w:rPr>
          <w:rFonts w:ascii="GHEA Grapalat" w:eastAsia="Times New Roman" w:hAnsi="GHEA Grapalat" w:cs="Times New Roman"/>
          <w:b/>
          <w:bCs/>
          <w:sz w:val="24"/>
          <w:szCs w:val="24"/>
          <w:lang w:val="hy-AM"/>
        </w:rPr>
        <w:t xml:space="preserve">ՀՀ </w:t>
      </w:r>
      <w:r w:rsidRPr="00C7601C">
        <w:rPr>
          <w:rFonts w:ascii="GHEA Grapalat" w:eastAsia="Times New Roman" w:hAnsi="GHEA Grapalat" w:cs="Times New Roman"/>
          <w:b/>
          <w:bCs/>
          <w:sz w:val="24"/>
          <w:szCs w:val="24"/>
          <w:lang w:val="hy-AM"/>
        </w:rPr>
        <w:t>ԿԱՌԱՎԱՐՈՒԹՅԱՆ 18.11.2021Թ. N</w:t>
      </w:r>
      <w:r>
        <w:rPr>
          <w:rFonts w:ascii="GHEA Grapalat" w:eastAsia="Times New Roman" w:hAnsi="GHEA Grapalat" w:cs="Times New Roman"/>
          <w:b/>
          <w:bCs/>
          <w:sz w:val="24"/>
          <w:szCs w:val="24"/>
          <w:lang w:val="hy-AM"/>
        </w:rPr>
        <w:t xml:space="preserve"> </w:t>
      </w:r>
      <w:r w:rsidRPr="00C7601C">
        <w:rPr>
          <w:rFonts w:ascii="GHEA Grapalat" w:eastAsia="Times New Roman" w:hAnsi="GHEA Grapalat" w:cs="Times New Roman"/>
          <w:b/>
          <w:bCs/>
          <w:sz w:val="24"/>
          <w:szCs w:val="24"/>
          <w:lang w:val="hy-AM"/>
        </w:rPr>
        <w:t>1902-Լ ՈՐՈՇՄԱՄԲ ՀԱՍՏԱՏՎԱ</w:t>
      </w:r>
      <w:r>
        <w:rPr>
          <w:rFonts w:ascii="GHEA Grapalat" w:eastAsia="Times New Roman" w:hAnsi="GHEA Grapalat" w:cs="Times New Roman"/>
          <w:b/>
          <w:bCs/>
          <w:sz w:val="24"/>
          <w:szCs w:val="24"/>
          <w:lang w:val="hy-AM"/>
        </w:rPr>
        <w:t xml:space="preserve">Ծ ԿԱՌԱՎԱՐՈՒԹՅԱՆ 2021-2026 </w:t>
      </w:r>
      <w:r w:rsidR="00A342B7" w:rsidRPr="00391E18">
        <w:rPr>
          <w:rFonts w:ascii="GHEA Grapalat" w:eastAsia="Times New Roman" w:hAnsi="GHEA Grapalat" w:cs="Times New Roman"/>
          <w:b/>
          <w:bCs/>
          <w:sz w:val="24"/>
          <w:szCs w:val="24"/>
          <w:lang w:val="hy-AM"/>
        </w:rPr>
        <w:t>ԹՎԱԿԱՆՆԵՐԻ ԳՈՐԾՈՒՆԵՈՒԹՅԱՆ ՄԻՋՈՑԱՌՈՒՄՆԵՐԻ ԾՐԱԳՐԻ ՎԵՐԱԲԵՐՅԱԼ</w:t>
      </w:r>
    </w:p>
    <w:p w14:paraId="5707B6A6" w14:textId="77777777" w:rsidR="00DC5F7D" w:rsidRDefault="00DC5F7D" w:rsidP="00A342B7">
      <w:pPr>
        <w:autoSpaceDE w:val="0"/>
        <w:autoSpaceDN w:val="0"/>
        <w:adjustRightInd w:val="0"/>
        <w:spacing w:line="240" w:lineRule="auto"/>
        <w:rPr>
          <w:rFonts w:ascii="GHEA Grapalat" w:hAnsi="GHEA Grapalat" w:cs="Sylfaen"/>
          <w:b/>
          <w:sz w:val="24"/>
          <w:szCs w:val="24"/>
          <w:lang w:val="hy-AM"/>
        </w:rPr>
      </w:pPr>
    </w:p>
    <w:tbl>
      <w:tblPr>
        <w:tblStyle w:val="a3"/>
        <w:tblW w:w="15462" w:type="dxa"/>
        <w:tblInd w:w="-252" w:type="dxa"/>
        <w:tblLayout w:type="fixed"/>
        <w:tblLook w:val="04A0" w:firstRow="1" w:lastRow="0" w:firstColumn="1" w:lastColumn="0" w:noHBand="0" w:noVBand="1"/>
      </w:tblPr>
      <w:tblGrid>
        <w:gridCol w:w="648"/>
        <w:gridCol w:w="2952"/>
        <w:gridCol w:w="3420"/>
        <w:gridCol w:w="4500"/>
        <w:gridCol w:w="2610"/>
        <w:gridCol w:w="1332"/>
      </w:tblGrid>
      <w:tr w:rsidR="00DC5F7D" w:rsidRPr="00802660" w14:paraId="59AA7AF7" w14:textId="77777777" w:rsidTr="009027C9">
        <w:tc>
          <w:tcPr>
            <w:tcW w:w="648" w:type="dxa"/>
          </w:tcPr>
          <w:p w14:paraId="642D59D3" w14:textId="77777777" w:rsidR="003421FE" w:rsidRPr="00802660" w:rsidRDefault="003421FE" w:rsidP="003421FE">
            <w:pPr>
              <w:autoSpaceDE w:val="0"/>
              <w:autoSpaceDN w:val="0"/>
              <w:adjustRightInd w:val="0"/>
              <w:jc w:val="left"/>
              <w:rPr>
                <w:rFonts w:ascii="GHEA Grapalat" w:hAnsi="GHEA Grapalat" w:cs="CIDFont+F1"/>
                <w:b/>
                <w:sz w:val="20"/>
                <w:szCs w:val="20"/>
              </w:rPr>
            </w:pPr>
            <w:proofErr w:type="spellStart"/>
            <w:r w:rsidRPr="00802660">
              <w:rPr>
                <w:rFonts w:ascii="GHEA Grapalat" w:hAnsi="GHEA Grapalat" w:cs="Sylfaen"/>
                <w:b/>
                <w:sz w:val="20"/>
                <w:szCs w:val="20"/>
              </w:rPr>
              <w:t>ծրագրի</w:t>
            </w:r>
            <w:proofErr w:type="spellEnd"/>
          </w:p>
          <w:p w14:paraId="3ADBD9DB" w14:textId="77777777" w:rsidR="003421FE" w:rsidRPr="00802660" w:rsidRDefault="003421FE" w:rsidP="003421FE">
            <w:pPr>
              <w:autoSpaceDE w:val="0"/>
              <w:autoSpaceDN w:val="0"/>
              <w:adjustRightInd w:val="0"/>
              <w:jc w:val="left"/>
              <w:rPr>
                <w:rFonts w:ascii="GHEA Grapalat" w:hAnsi="GHEA Grapalat" w:cs="CIDFont+F1"/>
                <w:b/>
                <w:sz w:val="20"/>
                <w:szCs w:val="20"/>
              </w:rPr>
            </w:pPr>
            <w:proofErr w:type="spellStart"/>
            <w:r w:rsidRPr="00802660">
              <w:rPr>
                <w:rFonts w:ascii="GHEA Grapalat" w:hAnsi="GHEA Grapalat" w:cs="Sylfaen"/>
                <w:b/>
                <w:sz w:val="20"/>
                <w:szCs w:val="20"/>
              </w:rPr>
              <w:t>հերթական</w:t>
            </w:r>
            <w:proofErr w:type="spellEnd"/>
          </w:p>
          <w:p w14:paraId="1F41771C" w14:textId="77777777" w:rsidR="00DC5F7D" w:rsidRPr="00802660" w:rsidRDefault="003421FE" w:rsidP="003421FE">
            <w:pPr>
              <w:autoSpaceDE w:val="0"/>
              <w:autoSpaceDN w:val="0"/>
              <w:adjustRightInd w:val="0"/>
              <w:rPr>
                <w:rFonts w:ascii="GHEA Grapalat" w:hAnsi="GHEA Grapalat" w:cs="CIDFont+F9"/>
                <w:b/>
                <w:sz w:val="20"/>
                <w:szCs w:val="20"/>
                <w:lang w:val="hy-AM"/>
              </w:rPr>
            </w:pPr>
            <w:proofErr w:type="spellStart"/>
            <w:r w:rsidRPr="00802660">
              <w:rPr>
                <w:rFonts w:ascii="GHEA Grapalat" w:hAnsi="GHEA Grapalat" w:cs="Sylfaen"/>
                <w:b/>
                <w:sz w:val="20"/>
                <w:szCs w:val="20"/>
              </w:rPr>
              <w:t>համարը</w:t>
            </w:r>
            <w:proofErr w:type="spellEnd"/>
          </w:p>
        </w:tc>
        <w:tc>
          <w:tcPr>
            <w:tcW w:w="2952" w:type="dxa"/>
          </w:tcPr>
          <w:p w14:paraId="2D832AC4" w14:textId="77777777" w:rsidR="00DC5F7D" w:rsidRPr="00802660" w:rsidRDefault="003421FE" w:rsidP="003421FE">
            <w:pPr>
              <w:autoSpaceDE w:val="0"/>
              <w:autoSpaceDN w:val="0"/>
              <w:adjustRightInd w:val="0"/>
              <w:jc w:val="left"/>
              <w:rPr>
                <w:rFonts w:ascii="GHEA Grapalat" w:hAnsi="GHEA Grapalat" w:cs="CIDFont+F1"/>
                <w:b/>
                <w:sz w:val="20"/>
                <w:szCs w:val="20"/>
              </w:rPr>
            </w:pPr>
            <w:proofErr w:type="spellStart"/>
            <w:r w:rsidRPr="00802660">
              <w:rPr>
                <w:rFonts w:ascii="GHEA Grapalat" w:hAnsi="GHEA Grapalat" w:cs="Sylfaen"/>
                <w:b/>
                <w:sz w:val="20"/>
                <w:szCs w:val="20"/>
              </w:rPr>
              <w:t>նպատակը</w:t>
            </w:r>
            <w:proofErr w:type="spellEnd"/>
          </w:p>
        </w:tc>
        <w:tc>
          <w:tcPr>
            <w:tcW w:w="3420" w:type="dxa"/>
          </w:tcPr>
          <w:p w14:paraId="1C0C6085" w14:textId="77777777" w:rsidR="003421FE" w:rsidRPr="00802660" w:rsidRDefault="003421FE" w:rsidP="003421FE">
            <w:pPr>
              <w:autoSpaceDE w:val="0"/>
              <w:autoSpaceDN w:val="0"/>
              <w:adjustRightInd w:val="0"/>
              <w:jc w:val="left"/>
              <w:rPr>
                <w:rFonts w:ascii="GHEA Grapalat" w:hAnsi="GHEA Grapalat" w:cs="CIDFont+F1"/>
                <w:b/>
                <w:sz w:val="20"/>
                <w:szCs w:val="20"/>
              </w:rPr>
            </w:pPr>
            <w:proofErr w:type="spellStart"/>
            <w:r w:rsidRPr="00802660">
              <w:rPr>
                <w:rFonts w:ascii="GHEA Grapalat" w:hAnsi="GHEA Grapalat" w:cs="Sylfaen"/>
                <w:b/>
                <w:sz w:val="20"/>
                <w:szCs w:val="20"/>
              </w:rPr>
              <w:t>միջոցառումների</w:t>
            </w:r>
            <w:proofErr w:type="spellEnd"/>
          </w:p>
          <w:p w14:paraId="21DF9474" w14:textId="77777777" w:rsidR="00DC5F7D" w:rsidRPr="00802660" w:rsidRDefault="003421FE" w:rsidP="003421FE">
            <w:pPr>
              <w:autoSpaceDE w:val="0"/>
              <w:autoSpaceDN w:val="0"/>
              <w:adjustRightInd w:val="0"/>
              <w:rPr>
                <w:rFonts w:ascii="GHEA Grapalat" w:hAnsi="GHEA Grapalat" w:cs="CIDFont+F9"/>
                <w:b/>
                <w:sz w:val="20"/>
                <w:szCs w:val="20"/>
                <w:lang w:val="hy-AM"/>
              </w:rPr>
            </w:pPr>
            <w:proofErr w:type="spellStart"/>
            <w:r w:rsidRPr="00802660">
              <w:rPr>
                <w:rFonts w:ascii="GHEA Grapalat" w:hAnsi="GHEA Grapalat" w:cs="Sylfaen"/>
                <w:b/>
                <w:sz w:val="20"/>
                <w:szCs w:val="20"/>
              </w:rPr>
              <w:t>անվանումները</w:t>
            </w:r>
            <w:proofErr w:type="spellEnd"/>
          </w:p>
        </w:tc>
        <w:tc>
          <w:tcPr>
            <w:tcW w:w="4500" w:type="dxa"/>
          </w:tcPr>
          <w:p w14:paraId="194EDA38" w14:textId="77777777" w:rsidR="003421FE" w:rsidRPr="00802660" w:rsidRDefault="003421FE" w:rsidP="003421FE">
            <w:pPr>
              <w:autoSpaceDE w:val="0"/>
              <w:autoSpaceDN w:val="0"/>
              <w:adjustRightInd w:val="0"/>
              <w:jc w:val="left"/>
              <w:rPr>
                <w:rFonts w:ascii="GHEA Grapalat" w:hAnsi="GHEA Grapalat" w:cs="CIDFont+F1"/>
                <w:b/>
                <w:sz w:val="20"/>
                <w:szCs w:val="20"/>
              </w:rPr>
            </w:pPr>
            <w:proofErr w:type="spellStart"/>
            <w:r w:rsidRPr="00802660">
              <w:rPr>
                <w:rFonts w:ascii="GHEA Grapalat" w:hAnsi="GHEA Grapalat" w:cs="Sylfaen"/>
                <w:b/>
                <w:sz w:val="20"/>
                <w:szCs w:val="20"/>
              </w:rPr>
              <w:t>միջոցառումների</w:t>
            </w:r>
            <w:proofErr w:type="spellEnd"/>
          </w:p>
          <w:p w14:paraId="0116530A" w14:textId="77777777" w:rsidR="003421FE" w:rsidRPr="00802660" w:rsidRDefault="003421FE" w:rsidP="003421FE">
            <w:pPr>
              <w:autoSpaceDE w:val="0"/>
              <w:autoSpaceDN w:val="0"/>
              <w:adjustRightInd w:val="0"/>
              <w:jc w:val="left"/>
              <w:rPr>
                <w:rFonts w:ascii="GHEA Grapalat" w:hAnsi="GHEA Grapalat" w:cs="CIDFont+F1"/>
                <w:b/>
                <w:sz w:val="20"/>
                <w:szCs w:val="20"/>
              </w:rPr>
            </w:pPr>
            <w:proofErr w:type="spellStart"/>
            <w:r w:rsidRPr="00802660">
              <w:rPr>
                <w:rFonts w:ascii="GHEA Grapalat" w:hAnsi="GHEA Grapalat" w:cs="Sylfaen"/>
                <w:b/>
                <w:sz w:val="20"/>
                <w:szCs w:val="20"/>
              </w:rPr>
              <w:t>իրականացման</w:t>
            </w:r>
            <w:proofErr w:type="spellEnd"/>
          </w:p>
          <w:p w14:paraId="507C5F0E" w14:textId="77777777" w:rsidR="00DC5F7D" w:rsidRPr="00802660" w:rsidRDefault="003421FE" w:rsidP="003421FE">
            <w:pPr>
              <w:autoSpaceDE w:val="0"/>
              <w:autoSpaceDN w:val="0"/>
              <w:adjustRightInd w:val="0"/>
              <w:rPr>
                <w:rFonts w:ascii="GHEA Grapalat" w:hAnsi="GHEA Grapalat" w:cs="CIDFont+F9"/>
                <w:b/>
                <w:sz w:val="20"/>
                <w:szCs w:val="20"/>
                <w:lang w:val="hy-AM"/>
              </w:rPr>
            </w:pPr>
            <w:proofErr w:type="spellStart"/>
            <w:r w:rsidRPr="00802660">
              <w:rPr>
                <w:rFonts w:ascii="GHEA Grapalat" w:hAnsi="GHEA Grapalat" w:cs="Sylfaen"/>
                <w:b/>
                <w:sz w:val="20"/>
                <w:szCs w:val="20"/>
              </w:rPr>
              <w:t>արդյունքները</w:t>
            </w:r>
            <w:proofErr w:type="spellEnd"/>
          </w:p>
        </w:tc>
        <w:tc>
          <w:tcPr>
            <w:tcW w:w="2610" w:type="dxa"/>
          </w:tcPr>
          <w:p w14:paraId="4E576D4F" w14:textId="77777777" w:rsidR="003421FE" w:rsidRPr="00802660" w:rsidRDefault="003421FE" w:rsidP="003421FE">
            <w:pPr>
              <w:autoSpaceDE w:val="0"/>
              <w:autoSpaceDN w:val="0"/>
              <w:adjustRightInd w:val="0"/>
              <w:jc w:val="left"/>
              <w:rPr>
                <w:rFonts w:ascii="GHEA Grapalat" w:hAnsi="GHEA Grapalat" w:cs="CIDFont+F1"/>
                <w:b/>
                <w:sz w:val="20"/>
                <w:szCs w:val="20"/>
                <w:lang w:val="hy-AM"/>
              </w:rPr>
            </w:pPr>
            <w:r w:rsidRPr="00802660">
              <w:rPr>
                <w:rFonts w:ascii="GHEA Grapalat" w:hAnsi="GHEA Grapalat" w:cs="Sylfaen"/>
                <w:b/>
                <w:sz w:val="20"/>
                <w:szCs w:val="20"/>
                <w:lang w:val="hy-AM"/>
              </w:rPr>
              <w:t>միջոցառումների</w:t>
            </w:r>
          </w:p>
          <w:p w14:paraId="0B09511C" w14:textId="77777777" w:rsidR="003421FE" w:rsidRPr="00802660" w:rsidRDefault="003421FE" w:rsidP="003421FE">
            <w:pPr>
              <w:autoSpaceDE w:val="0"/>
              <w:autoSpaceDN w:val="0"/>
              <w:adjustRightInd w:val="0"/>
              <w:jc w:val="left"/>
              <w:rPr>
                <w:rFonts w:ascii="GHEA Grapalat" w:hAnsi="GHEA Grapalat" w:cs="CIDFont+F1"/>
                <w:b/>
                <w:sz w:val="20"/>
                <w:szCs w:val="20"/>
                <w:lang w:val="hy-AM"/>
              </w:rPr>
            </w:pPr>
            <w:r w:rsidRPr="00802660">
              <w:rPr>
                <w:rFonts w:ascii="GHEA Grapalat" w:hAnsi="GHEA Grapalat" w:cs="Sylfaen"/>
                <w:b/>
                <w:sz w:val="20"/>
                <w:szCs w:val="20"/>
                <w:lang w:val="hy-AM"/>
              </w:rPr>
              <w:t>չկատարման</w:t>
            </w:r>
            <w:r w:rsidRPr="00802660">
              <w:rPr>
                <w:rFonts w:ascii="GHEA Grapalat" w:hAnsi="GHEA Grapalat" w:cs="CIDFont+F1"/>
                <w:b/>
                <w:sz w:val="20"/>
                <w:szCs w:val="20"/>
                <w:lang w:val="hy-AM"/>
              </w:rPr>
              <w:t xml:space="preserve">, </w:t>
            </w:r>
            <w:r w:rsidRPr="00802660">
              <w:rPr>
                <w:rFonts w:ascii="GHEA Grapalat" w:hAnsi="GHEA Grapalat" w:cs="Sylfaen"/>
                <w:b/>
                <w:sz w:val="20"/>
                <w:szCs w:val="20"/>
                <w:lang w:val="hy-AM"/>
              </w:rPr>
              <w:t>այդ</w:t>
            </w:r>
          </w:p>
          <w:p w14:paraId="7F7957BD" w14:textId="77777777" w:rsidR="003421FE" w:rsidRPr="00802660" w:rsidRDefault="003421FE" w:rsidP="003421FE">
            <w:pPr>
              <w:autoSpaceDE w:val="0"/>
              <w:autoSpaceDN w:val="0"/>
              <w:adjustRightInd w:val="0"/>
              <w:jc w:val="left"/>
              <w:rPr>
                <w:rFonts w:ascii="GHEA Grapalat" w:hAnsi="GHEA Grapalat" w:cs="CIDFont+F1"/>
                <w:b/>
                <w:sz w:val="20"/>
                <w:szCs w:val="20"/>
                <w:lang w:val="hy-AM"/>
              </w:rPr>
            </w:pPr>
            <w:r w:rsidRPr="00802660">
              <w:rPr>
                <w:rFonts w:ascii="GHEA Grapalat" w:hAnsi="GHEA Grapalat" w:cs="Sylfaen"/>
                <w:b/>
                <w:sz w:val="20"/>
                <w:szCs w:val="20"/>
                <w:lang w:val="hy-AM"/>
              </w:rPr>
              <w:t>թվում՝</w:t>
            </w:r>
            <w:r w:rsidRPr="00802660">
              <w:rPr>
                <w:rFonts w:ascii="GHEA Grapalat" w:hAnsi="GHEA Grapalat" w:cs="CIDFont+F1"/>
                <w:b/>
                <w:sz w:val="20"/>
                <w:szCs w:val="20"/>
                <w:lang w:val="hy-AM"/>
              </w:rPr>
              <w:t xml:space="preserve"> </w:t>
            </w:r>
            <w:r w:rsidRPr="00802660">
              <w:rPr>
                <w:rFonts w:ascii="GHEA Grapalat" w:hAnsi="GHEA Grapalat" w:cs="Sylfaen"/>
                <w:b/>
                <w:sz w:val="20"/>
                <w:szCs w:val="20"/>
                <w:lang w:val="hy-AM"/>
              </w:rPr>
              <w:t>սահմանված</w:t>
            </w:r>
          </w:p>
          <w:p w14:paraId="6D27F32E" w14:textId="77777777" w:rsidR="003421FE" w:rsidRPr="00802660" w:rsidRDefault="003421FE" w:rsidP="003421FE">
            <w:pPr>
              <w:autoSpaceDE w:val="0"/>
              <w:autoSpaceDN w:val="0"/>
              <w:adjustRightInd w:val="0"/>
              <w:jc w:val="left"/>
              <w:rPr>
                <w:rFonts w:ascii="GHEA Grapalat" w:hAnsi="GHEA Grapalat" w:cs="CIDFont+F1"/>
                <w:b/>
                <w:sz w:val="20"/>
                <w:szCs w:val="20"/>
                <w:lang w:val="hy-AM"/>
              </w:rPr>
            </w:pPr>
            <w:r w:rsidRPr="00802660">
              <w:rPr>
                <w:rFonts w:ascii="GHEA Grapalat" w:hAnsi="GHEA Grapalat" w:cs="Sylfaen"/>
                <w:b/>
                <w:sz w:val="20"/>
                <w:szCs w:val="20"/>
                <w:lang w:val="hy-AM"/>
              </w:rPr>
              <w:t>ժամկետում</w:t>
            </w:r>
            <w:r w:rsidRPr="00802660">
              <w:rPr>
                <w:rFonts w:ascii="GHEA Grapalat" w:hAnsi="GHEA Grapalat" w:cs="CIDFont+F1"/>
                <w:b/>
                <w:sz w:val="20"/>
                <w:szCs w:val="20"/>
                <w:lang w:val="hy-AM"/>
              </w:rPr>
              <w:t>,</w:t>
            </w:r>
          </w:p>
          <w:p w14:paraId="30A91FED" w14:textId="77777777" w:rsidR="00DC5F7D" w:rsidRPr="00802660" w:rsidRDefault="003421FE" w:rsidP="003421FE">
            <w:pPr>
              <w:autoSpaceDE w:val="0"/>
              <w:autoSpaceDN w:val="0"/>
              <w:adjustRightInd w:val="0"/>
              <w:rPr>
                <w:rFonts w:ascii="GHEA Grapalat" w:hAnsi="GHEA Grapalat" w:cs="CIDFont+F9"/>
                <w:b/>
                <w:sz w:val="20"/>
                <w:szCs w:val="20"/>
                <w:lang w:val="hy-AM"/>
              </w:rPr>
            </w:pPr>
            <w:proofErr w:type="spellStart"/>
            <w:r w:rsidRPr="00802660">
              <w:rPr>
                <w:rFonts w:ascii="GHEA Grapalat" w:hAnsi="GHEA Grapalat" w:cs="Sylfaen"/>
                <w:b/>
                <w:sz w:val="20"/>
                <w:szCs w:val="20"/>
              </w:rPr>
              <w:t>պատճառները</w:t>
            </w:r>
            <w:proofErr w:type="spellEnd"/>
          </w:p>
        </w:tc>
        <w:tc>
          <w:tcPr>
            <w:tcW w:w="1332" w:type="dxa"/>
          </w:tcPr>
          <w:p w14:paraId="633A9672" w14:textId="77777777" w:rsidR="00DC5F7D" w:rsidRPr="00802660" w:rsidRDefault="003421FE" w:rsidP="00BE6B4D">
            <w:pPr>
              <w:autoSpaceDE w:val="0"/>
              <w:autoSpaceDN w:val="0"/>
              <w:adjustRightInd w:val="0"/>
              <w:jc w:val="left"/>
              <w:rPr>
                <w:rFonts w:ascii="GHEA Grapalat" w:hAnsi="GHEA Grapalat" w:cs="CIDFont+F1"/>
                <w:b/>
                <w:sz w:val="20"/>
                <w:szCs w:val="20"/>
              </w:rPr>
            </w:pPr>
            <w:proofErr w:type="spellStart"/>
            <w:r w:rsidRPr="00802660">
              <w:rPr>
                <w:rFonts w:ascii="GHEA Grapalat" w:hAnsi="GHEA Grapalat" w:cs="Sylfaen"/>
                <w:b/>
                <w:sz w:val="20"/>
                <w:szCs w:val="20"/>
              </w:rPr>
              <w:t>ծանոթագրություն</w:t>
            </w:r>
            <w:proofErr w:type="spellEnd"/>
          </w:p>
        </w:tc>
      </w:tr>
      <w:tr w:rsidR="003421FE" w:rsidRPr="00802660" w14:paraId="7E56CFAA" w14:textId="77777777" w:rsidTr="009027C9">
        <w:tc>
          <w:tcPr>
            <w:tcW w:w="648" w:type="dxa"/>
          </w:tcPr>
          <w:p w14:paraId="7C3C309D" w14:textId="77777777" w:rsidR="003421FE" w:rsidRPr="00802660" w:rsidRDefault="00BE6B4D" w:rsidP="00BE6B4D">
            <w:pPr>
              <w:autoSpaceDE w:val="0"/>
              <w:autoSpaceDN w:val="0"/>
              <w:adjustRightInd w:val="0"/>
              <w:ind w:right="-90"/>
              <w:jc w:val="center"/>
              <w:rPr>
                <w:rFonts w:ascii="GHEA Grapalat" w:hAnsi="GHEA Grapalat" w:cs="Sylfaen"/>
                <w:b/>
                <w:sz w:val="20"/>
                <w:szCs w:val="20"/>
                <w:lang w:val="hy-AM"/>
              </w:rPr>
            </w:pPr>
            <w:r w:rsidRPr="00802660">
              <w:rPr>
                <w:rFonts w:ascii="GHEA Grapalat" w:hAnsi="GHEA Grapalat" w:cs="Sylfaen"/>
                <w:b/>
                <w:sz w:val="20"/>
                <w:szCs w:val="20"/>
                <w:lang w:val="hy-AM"/>
              </w:rPr>
              <w:t>1</w:t>
            </w:r>
          </w:p>
        </w:tc>
        <w:tc>
          <w:tcPr>
            <w:tcW w:w="2952" w:type="dxa"/>
          </w:tcPr>
          <w:p w14:paraId="2C2203E7" w14:textId="77777777" w:rsidR="003421FE" w:rsidRPr="00802660" w:rsidRDefault="00BE6B4D" w:rsidP="00BE6B4D">
            <w:pPr>
              <w:autoSpaceDE w:val="0"/>
              <w:autoSpaceDN w:val="0"/>
              <w:adjustRightInd w:val="0"/>
              <w:ind w:right="-90"/>
              <w:jc w:val="center"/>
              <w:rPr>
                <w:rFonts w:ascii="GHEA Grapalat" w:hAnsi="GHEA Grapalat" w:cs="Sylfaen"/>
                <w:b/>
                <w:sz w:val="20"/>
                <w:szCs w:val="20"/>
                <w:lang w:val="hy-AM"/>
              </w:rPr>
            </w:pPr>
            <w:r w:rsidRPr="00802660">
              <w:rPr>
                <w:rFonts w:ascii="GHEA Grapalat" w:hAnsi="GHEA Grapalat" w:cs="Sylfaen"/>
                <w:b/>
                <w:sz w:val="20"/>
                <w:szCs w:val="20"/>
                <w:lang w:val="hy-AM"/>
              </w:rPr>
              <w:t>2</w:t>
            </w:r>
          </w:p>
        </w:tc>
        <w:tc>
          <w:tcPr>
            <w:tcW w:w="3420" w:type="dxa"/>
          </w:tcPr>
          <w:p w14:paraId="2FFC7AFA" w14:textId="77777777" w:rsidR="003421FE" w:rsidRPr="00802660" w:rsidRDefault="00BE6B4D" w:rsidP="00BE6B4D">
            <w:pPr>
              <w:autoSpaceDE w:val="0"/>
              <w:autoSpaceDN w:val="0"/>
              <w:adjustRightInd w:val="0"/>
              <w:ind w:right="-90"/>
              <w:jc w:val="center"/>
              <w:rPr>
                <w:rFonts w:ascii="GHEA Grapalat" w:hAnsi="GHEA Grapalat" w:cs="Sylfaen"/>
                <w:b/>
                <w:sz w:val="20"/>
                <w:szCs w:val="20"/>
                <w:lang w:val="hy-AM"/>
              </w:rPr>
            </w:pPr>
            <w:r w:rsidRPr="00802660">
              <w:rPr>
                <w:rFonts w:ascii="GHEA Grapalat" w:hAnsi="GHEA Grapalat" w:cs="Sylfaen"/>
                <w:b/>
                <w:sz w:val="20"/>
                <w:szCs w:val="20"/>
                <w:lang w:val="hy-AM"/>
              </w:rPr>
              <w:t>3</w:t>
            </w:r>
          </w:p>
        </w:tc>
        <w:tc>
          <w:tcPr>
            <w:tcW w:w="4500" w:type="dxa"/>
          </w:tcPr>
          <w:p w14:paraId="04069C4B" w14:textId="77777777" w:rsidR="003421FE" w:rsidRPr="00802660" w:rsidRDefault="00BE6B4D" w:rsidP="00BE6B4D">
            <w:pPr>
              <w:autoSpaceDE w:val="0"/>
              <w:autoSpaceDN w:val="0"/>
              <w:adjustRightInd w:val="0"/>
              <w:ind w:right="-90"/>
              <w:jc w:val="center"/>
              <w:rPr>
                <w:rFonts w:ascii="GHEA Grapalat" w:hAnsi="GHEA Grapalat" w:cs="Sylfaen"/>
                <w:b/>
                <w:sz w:val="20"/>
                <w:szCs w:val="20"/>
                <w:lang w:val="hy-AM"/>
              </w:rPr>
            </w:pPr>
            <w:r w:rsidRPr="00802660">
              <w:rPr>
                <w:rFonts w:ascii="GHEA Grapalat" w:hAnsi="GHEA Grapalat" w:cs="Sylfaen"/>
                <w:b/>
                <w:sz w:val="20"/>
                <w:szCs w:val="20"/>
                <w:lang w:val="hy-AM"/>
              </w:rPr>
              <w:t>4</w:t>
            </w:r>
          </w:p>
        </w:tc>
        <w:tc>
          <w:tcPr>
            <w:tcW w:w="2610" w:type="dxa"/>
          </w:tcPr>
          <w:p w14:paraId="0CA6AA10" w14:textId="77777777" w:rsidR="003421FE" w:rsidRPr="00802660" w:rsidRDefault="00BE6B4D" w:rsidP="00BE6B4D">
            <w:pPr>
              <w:autoSpaceDE w:val="0"/>
              <w:autoSpaceDN w:val="0"/>
              <w:adjustRightInd w:val="0"/>
              <w:ind w:right="-90"/>
              <w:jc w:val="center"/>
              <w:rPr>
                <w:rFonts w:ascii="GHEA Grapalat" w:hAnsi="GHEA Grapalat" w:cs="Sylfaen"/>
                <w:b/>
                <w:sz w:val="20"/>
                <w:szCs w:val="20"/>
                <w:lang w:val="hy-AM"/>
              </w:rPr>
            </w:pPr>
            <w:r w:rsidRPr="00802660">
              <w:rPr>
                <w:rFonts w:ascii="GHEA Grapalat" w:hAnsi="GHEA Grapalat" w:cs="Sylfaen"/>
                <w:b/>
                <w:sz w:val="20"/>
                <w:szCs w:val="20"/>
                <w:lang w:val="hy-AM"/>
              </w:rPr>
              <w:t>5</w:t>
            </w:r>
          </w:p>
        </w:tc>
        <w:tc>
          <w:tcPr>
            <w:tcW w:w="1332" w:type="dxa"/>
          </w:tcPr>
          <w:p w14:paraId="70D6DFDB" w14:textId="77777777" w:rsidR="003421FE" w:rsidRPr="00802660" w:rsidRDefault="00BE6B4D" w:rsidP="00BE6B4D">
            <w:pPr>
              <w:autoSpaceDE w:val="0"/>
              <w:autoSpaceDN w:val="0"/>
              <w:adjustRightInd w:val="0"/>
              <w:ind w:right="-90"/>
              <w:jc w:val="center"/>
              <w:rPr>
                <w:rFonts w:ascii="GHEA Grapalat" w:hAnsi="GHEA Grapalat" w:cs="Sylfaen"/>
                <w:b/>
                <w:sz w:val="20"/>
                <w:szCs w:val="20"/>
                <w:lang w:val="hy-AM"/>
              </w:rPr>
            </w:pPr>
            <w:r w:rsidRPr="00802660">
              <w:rPr>
                <w:rFonts w:ascii="GHEA Grapalat" w:hAnsi="GHEA Grapalat" w:cs="Sylfaen"/>
                <w:b/>
                <w:sz w:val="20"/>
                <w:szCs w:val="20"/>
                <w:lang w:val="hy-AM"/>
              </w:rPr>
              <w:t>6</w:t>
            </w:r>
          </w:p>
        </w:tc>
      </w:tr>
      <w:tr w:rsidR="003421FE" w:rsidRPr="00D8648A" w14:paraId="6B83425B" w14:textId="77777777" w:rsidTr="009027C9">
        <w:tc>
          <w:tcPr>
            <w:tcW w:w="648" w:type="dxa"/>
          </w:tcPr>
          <w:p w14:paraId="42EA7A9A" w14:textId="77777777" w:rsidR="00C327B2" w:rsidRPr="00095FFE" w:rsidRDefault="00C327B2" w:rsidP="00802660">
            <w:pPr>
              <w:autoSpaceDE w:val="0"/>
              <w:autoSpaceDN w:val="0"/>
              <w:adjustRightInd w:val="0"/>
              <w:ind w:right="-90"/>
              <w:jc w:val="left"/>
              <w:rPr>
                <w:rFonts w:ascii="GHEA Grapalat" w:hAnsi="GHEA Grapalat" w:cs="Arial"/>
                <w:sz w:val="20"/>
                <w:szCs w:val="20"/>
                <w:lang w:val="hy-AM"/>
              </w:rPr>
            </w:pPr>
            <w:r w:rsidRPr="00095FFE">
              <w:rPr>
                <w:rFonts w:ascii="GHEA Grapalat" w:hAnsi="GHEA Grapalat" w:cs="Arial"/>
                <w:sz w:val="20"/>
                <w:szCs w:val="20"/>
                <w:lang w:val="hy-AM"/>
              </w:rPr>
              <w:t>95</w:t>
            </w:r>
            <w:r w:rsidRPr="004752D5">
              <w:rPr>
                <w:rFonts w:ascii="GHEA Grapalat" w:hAnsi="GHEA Grapalat" w:cs="Arial" w:hint="eastAsia"/>
                <w:sz w:val="20"/>
                <w:szCs w:val="20"/>
                <w:lang w:val="hy-AM"/>
              </w:rPr>
              <w:t>․</w:t>
            </w:r>
          </w:p>
          <w:p w14:paraId="63699761" w14:textId="099A194D" w:rsidR="00095FFE" w:rsidRPr="004752D5" w:rsidRDefault="00095FFE" w:rsidP="00802660">
            <w:pPr>
              <w:autoSpaceDE w:val="0"/>
              <w:autoSpaceDN w:val="0"/>
              <w:adjustRightInd w:val="0"/>
              <w:ind w:right="-90"/>
              <w:jc w:val="left"/>
              <w:rPr>
                <w:rFonts w:ascii="GHEA Grapalat" w:hAnsi="GHEA Grapalat" w:cs="Arial"/>
                <w:sz w:val="20"/>
                <w:szCs w:val="20"/>
                <w:lang w:val="hy-AM"/>
              </w:rPr>
            </w:pPr>
            <w:r w:rsidRPr="00095FFE">
              <w:rPr>
                <w:rFonts w:ascii="GHEA Grapalat" w:hAnsi="GHEA Grapalat" w:cs="Arial"/>
                <w:sz w:val="20"/>
                <w:szCs w:val="20"/>
                <w:lang w:val="hy-AM"/>
              </w:rPr>
              <w:t>/նախկին</w:t>
            </w:r>
            <w:r>
              <w:rPr>
                <w:rFonts w:ascii="GHEA Grapalat" w:hAnsi="GHEA Grapalat" w:cs="Arial"/>
                <w:sz w:val="20"/>
                <w:szCs w:val="20"/>
                <w:lang w:val="hy-AM"/>
              </w:rPr>
              <w:t>՝</w:t>
            </w:r>
            <w:r w:rsidRPr="00095FFE">
              <w:rPr>
                <w:rFonts w:ascii="GHEA Grapalat" w:hAnsi="GHEA Grapalat" w:cs="Arial"/>
                <w:sz w:val="20"/>
                <w:szCs w:val="20"/>
                <w:lang w:val="hy-AM"/>
              </w:rPr>
              <w:t xml:space="preserve"> 96</w:t>
            </w:r>
            <w:r w:rsidR="002B3010" w:rsidRPr="004752D5">
              <w:rPr>
                <w:rFonts w:ascii="GHEA Grapalat" w:hAnsi="GHEA Grapalat" w:cs="Arial"/>
                <w:sz w:val="20"/>
                <w:szCs w:val="20"/>
                <w:lang w:val="hy-AM"/>
              </w:rPr>
              <w:t>/</w:t>
            </w:r>
          </w:p>
        </w:tc>
        <w:tc>
          <w:tcPr>
            <w:tcW w:w="2952" w:type="dxa"/>
          </w:tcPr>
          <w:p w14:paraId="64E1505C" w14:textId="77777777" w:rsidR="003421FE" w:rsidRPr="004752D5" w:rsidRDefault="00BE6B4D" w:rsidP="00802660">
            <w:pPr>
              <w:autoSpaceDE w:val="0"/>
              <w:autoSpaceDN w:val="0"/>
              <w:adjustRightInd w:val="0"/>
              <w:ind w:right="-90"/>
              <w:jc w:val="left"/>
              <w:rPr>
                <w:rFonts w:ascii="GHEA Grapalat" w:hAnsi="GHEA Grapalat" w:cs="Arial"/>
                <w:sz w:val="20"/>
                <w:szCs w:val="20"/>
                <w:lang w:val="hy-AM"/>
              </w:rPr>
            </w:pPr>
            <w:r w:rsidRPr="00802660">
              <w:rPr>
                <w:rFonts w:ascii="GHEA Grapalat" w:hAnsi="GHEA Grapalat" w:cs="Arial"/>
                <w:sz w:val="20"/>
                <w:szCs w:val="20"/>
                <w:lang w:val="hy-AM"/>
              </w:rPr>
              <w:t>Պետական մասնակցությամբ առևտրային կազմակերպությունների արդյունավետության բարձրացում, այդ նպատակով մշտադիտարկման և վերլուծության գործող համակարգի արմատական բարեփոխում և առևտրային կազմակերպությունների կառավարման որակի բարելավում</w:t>
            </w:r>
          </w:p>
        </w:tc>
        <w:tc>
          <w:tcPr>
            <w:tcW w:w="3420" w:type="dxa"/>
          </w:tcPr>
          <w:p w14:paraId="32D4B762" w14:textId="58E74D66" w:rsidR="003421FE" w:rsidRPr="000A4E43" w:rsidRDefault="006E0ED8" w:rsidP="000A4E43">
            <w:pPr>
              <w:spacing w:line="276" w:lineRule="auto"/>
              <w:jc w:val="left"/>
              <w:rPr>
                <w:rFonts w:ascii="GHEA Grapalat" w:hAnsi="GHEA Grapalat" w:cs="Arial"/>
                <w:sz w:val="20"/>
                <w:szCs w:val="20"/>
                <w:lang w:val="hy-AM"/>
              </w:rPr>
            </w:pPr>
            <w:r>
              <w:rPr>
                <w:rFonts w:ascii="GHEA Grapalat" w:hAnsi="GHEA Grapalat" w:cs="Arial"/>
                <w:sz w:val="20"/>
                <w:szCs w:val="20"/>
                <w:lang w:val="hy-AM"/>
              </w:rPr>
              <w:t>9</w:t>
            </w:r>
            <w:r w:rsidR="00C327B2" w:rsidRPr="004752D5">
              <w:rPr>
                <w:rFonts w:ascii="GHEA Grapalat" w:hAnsi="GHEA Grapalat" w:cs="Arial"/>
                <w:sz w:val="20"/>
                <w:szCs w:val="20"/>
                <w:lang w:val="hy-AM"/>
              </w:rPr>
              <w:t>5</w:t>
            </w:r>
            <w:r w:rsidR="00BE6B4D" w:rsidRPr="00802660">
              <w:rPr>
                <w:rFonts w:ascii="GHEA Grapalat" w:hAnsi="GHEA Grapalat" w:cs="Arial"/>
                <w:sz w:val="20"/>
                <w:szCs w:val="20"/>
                <w:lang w:val="hy-AM"/>
              </w:rPr>
              <w:t>.1 «Հայաստանի Հանրապետության կառավարության 2017 թվականի հոկտեմբերի 5-ի N 1262-Ն որոշման մեջ փոփոխություններ և լրացումներ կատարելու մասին» ՀՀ կառավարության որոշման նախագծի ներկայացում ՀՀ վարչապետի աշխատակազմ</w:t>
            </w:r>
          </w:p>
        </w:tc>
        <w:tc>
          <w:tcPr>
            <w:tcW w:w="4500" w:type="dxa"/>
          </w:tcPr>
          <w:p w14:paraId="1234848E" w14:textId="77777777" w:rsidR="003421FE" w:rsidRPr="004752D5" w:rsidRDefault="00BE6B4D" w:rsidP="004752D5">
            <w:pPr>
              <w:autoSpaceDE w:val="0"/>
              <w:autoSpaceDN w:val="0"/>
              <w:adjustRightInd w:val="0"/>
              <w:ind w:right="-15"/>
              <w:jc w:val="left"/>
              <w:rPr>
                <w:rFonts w:ascii="GHEA Grapalat" w:hAnsi="GHEA Grapalat" w:cs="Arial"/>
                <w:sz w:val="20"/>
                <w:szCs w:val="20"/>
                <w:lang w:val="hy-AM"/>
              </w:rPr>
            </w:pPr>
            <w:r w:rsidRPr="004752D5">
              <w:rPr>
                <w:rFonts w:ascii="GHEA Grapalat" w:hAnsi="GHEA Grapalat" w:cs="Arial"/>
                <w:sz w:val="20"/>
                <w:szCs w:val="20"/>
                <w:lang w:val="hy-AM"/>
              </w:rPr>
              <w:t>«Հայաստանի Հանրապետության կառավարության 2017 թվականի հոկտեմբերի 5-ի N 1262-Ն որոշման մեջ փոփոխություններ և լրացումներ կատարելու մասին» ՀՀ կառավարության որոշման նախագիծ</w:t>
            </w:r>
            <w:r w:rsidR="00780F8B" w:rsidRPr="004752D5">
              <w:rPr>
                <w:rFonts w:ascii="GHEA Grapalat" w:hAnsi="GHEA Grapalat" w:cs="Arial"/>
                <w:sz w:val="20"/>
                <w:szCs w:val="20"/>
                <w:lang w:val="hy-AM"/>
              </w:rPr>
              <w:t>ը</w:t>
            </w:r>
            <w:r w:rsidRPr="004752D5">
              <w:rPr>
                <w:rFonts w:ascii="GHEA Grapalat" w:hAnsi="GHEA Grapalat" w:cs="Arial"/>
                <w:sz w:val="20"/>
                <w:szCs w:val="20"/>
                <w:lang w:val="hy-AM"/>
              </w:rPr>
              <w:t xml:space="preserve"> </w:t>
            </w:r>
            <w:r w:rsidR="00780F8B" w:rsidRPr="004752D5">
              <w:rPr>
                <w:rFonts w:ascii="GHEA Grapalat" w:hAnsi="GHEA Grapalat" w:cs="Arial"/>
                <w:sz w:val="20"/>
                <w:szCs w:val="20"/>
                <w:lang w:val="hy-AM"/>
              </w:rPr>
              <w:t xml:space="preserve">ՀՀ կառավարության կողմից 2023 թվականի հունվարի 5-ին ընդունվել </w:t>
            </w:r>
            <w:r w:rsidRPr="004752D5">
              <w:rPr>
                <w:rFonts w:ascii="GHEA Grapalat" w:hAnsi="GHEA Grapalat" w:cs="Arial"/>
                <w:sz w:val="20"/>
                <w:szCs w:val="20"/>
                <w:lang w:val="hy-AM"/>
              </w:rPr>
              <w:t>է N 30-Ն որոշ</w:t>
            </w:r>
            <w:r w:rsidR="00780F8B" w:rsidRPr="004752D5">
              <w:rPr>
                <w:rFonts w:ascii="GHEA Grapalat" w:hAnsi="GHEA Grapalat" w:cs="Arial"/>
                <w:sz w:val="20"/>
                <w:szCs w:val="20"/>
                <w:lang w:val="hy-AM"/>
              </w:rPr>
              <w:t>մամբ։</w:t>
            </w:r>
          </w:p>
          <w:p w14:paraId="19FF4F10" w14:textId="08035DD3" w:rsidR="001B3889" w:rsidRPr="004752D5" w:rsidRDefault="001B3889" w:rsidP="004752D5">
            <w:pPr>
              <w:autoSpaceDE w:val="0"/>
              <w:autoSpaceDN w:val="0"/>
              <w:adjustRightInd w:val="0"/>
              <w:ind w:right="-15"/>
              <w:jc w:val="left"/>
              <w:rPr>
                <w:rFonts w:ascii="GHEA Grapalat" w:hAnsi="GHEA Grapalat" w:cs="Arial"/>
                <w:sz w:val="20"/>
                <w:szCs w:val="20"/>
                <w:lang w:val="hy-AM"/>
              </w:rPr>
            </w:pPr>
          </w:p>
        </w:tc>
        <w:tc>
          <w:tcPr>
            <w:tcW w:w="2610" w:type="dxa"/>
          </w:tcPr>
          <w:p w14:paraId="7813582D" w14:textId="55A935D5" w:rsidR="008B2A8F" w:rsidRDefault="00FC4261" w:rsidP="00802660">
            <w:pPr>
              <w:autoSpaceDE w:val="0"/>
              <w:autoSpaceDN w:val="0"/>
              <w:adjustRightInd w:val="0"/>
              <w:ind w:right="-90"/>
              <w:jc w:val="left"/>
              <w:rPr>
                <w:rFonts w:ascii="GHEA Grapalat" w:hAnsi="GHEA Grapalat" w:cs="Arial"/>
                <w:sz w:val="20"/>
                <w:szCs w:val="20"/>
                <w:lang w:val="hy-AM"/>
              </w:rPr>
            </w:pPr>
            <w:r>
              <w:rPr>
                <w:rFonts w:ascii="GHEA Grapalat" w:hAnsi="GHEA Grapalat" w:cs="Arial"/>
                <w:sz w:val="20"/>
                <w:szCs w:val="20"/>
                <w:lang w:val="hy-AM"/>
              </w:rPr>
              <w:t>Մ</w:t>
            </w:r>
            <w:r w:rsidR="008B2A8F" w:rsidRPr="00D8648A">
              <w:rPr>
                <w:rFonts w:ascii="GHEA Grapalat" w:hAnsi="GHEA Grapalat" w:cs="Arial"/>
                <w:sz w:val="20"/>
                <w:szCs w:val="20"/>
                <w:lang w:val="hy-AM"/>
              </w:rPr>
              <w:t>ինչև 2023 թվականի նոյեմբերի</w:t>
            </w:r>
            <w:r w:rsidR="008B2A8F">
              <w:rPr>
                <w:rFonts w:ascii="GHEA Grapalat" w:hAnsi="GHEA Grapalat" w:cs="Arial"/>
                <w:sz w:val="20"/>
                <w:szCs w:val="20"/>
                <w:lang w:val="hy-AM"/>
              </w:rPr>
              <w:t xml:space="preserve"> </w:t>
            </w:r>
            <w:r w:rsidR="008B2A8F" w:rsidRPr="00D8648A">
              <w:rPr>
                <w:rFonts w:ascii="GHEA Grapalat" w:hAnsi="GHEA Grapalat" w:cs="Arial"/>
                <w:sz w:val="20"/>
                <w:szCs w:val="20"/>
                <w:lang w:val="hy-AM"/>
              </w:rPr>
              <w:t>1-ին տասնօրյակ</w:t>
            </w:r>
            <w:r w:rsidR="008B2A8F">
              <w:rPr>
                <w:rFonts w:ascii="GHEA Grapalat" w:hAnsi="GHEA Grapalat" w:cs="Arial"/>
                <w:sz w:val="20"/>
                <w:szCs w:val="20"/>
                <w:lang w:val="hy-AM"/>
              </w:rPr>
              <w:t>։</w:t>
            </w:r>
          </w:p>
          <w:p w14:paraId="4C224393" w14:textId="0ADBF782" w:rsidR="003421FE" w:rsidRDefault="00BE6B4D" w:rsidP="00802660">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Կատարվել է սահմանված ժամկետում</w:t>
            </w:r>
            <w:r w:rsidR="002F770C">
              <w:rPr>
                <w:rFonts w:ascii="GHEA Grapalat" w:hAnsi="GHEA Grapalat" w:cs="Arial"/>
                <w:sz w:val="20"/>
                <w:szCs w:val="20"/>
                <w:lang w:val="hy-AM"/>
              </w:rPr>
              <w:t>։</w:t>
            </w:r>
          </w:p>
          <w:p w14:paraId="7288E2B0" w14:textId="7A122212" w:rsidR="00D8648A" w:rsidRPr="00D8648A" w:rsidRDefault="00D8648A" w:rsidP="00802660">
            <w:pPr>
              <w:autoSpaceDE w:val="0"/>
              <w:autoSpaceDN w:val="0"/>
              <w:adjustRightInd w:val="0"/>
              <w:ind w:right="-90"/>
              <w:jc w:val="left"/>
              <w:rPr>
                <w:rFonts w:ascii="GHEA Grapalat" w:hAnsi="GHEA Grapalat" w:cs="Arial"/>
                <w:sz w:val="20"/>
                <w:szCs w:val="20"/>
                <w:lang w:val="hy-AM"/>
              </w:rPr>
            </w:pPr>
          </w:p>
        </w:tc>
        <w:tc>
          <w:tcPr>
            <w:tcW w:w="1332" w:type="dxa"/>
          </w:tcPr>
          <w:p w14:paraId="086D7DE4" w14:textId="77777777" w:rsidR="003421FE" w:rsidRPr="004752D5" w:rsidRDefault="003421FE" w:rsidP="00802660">
            <w:pPr>
              <w:autoSpaceDE w:val="0"/>
              <w:autoSpaceDN w:val="0"/>
              <w:adjustRightInd w:val="0"/>
              <w:ind w:right="-90"/>
              <w:jc w:val="left"/>
              <w:rPr>
                <w:rFonts w:ascii="GHEA Grapalat" w:hAnsi="GHEA Grapalat" w:cs="Arial"/>
                <w:sz w:val="20"/>
                <w:szCs w:val="20"/>
                <w:lang w:val="hy-AM"/>
              </w:rPr>
            </w:pPr>
          </w:p>
        </w:tc>
      </w:tr>
      <w:tr w:rsidR="00040721" w:rsidRPr="008B2A8F" w14:paraId="5A8A4433" w14:textId="77777777" w:rsidTr="009027C9">
        <w:tc>
          <w:tcPr>
            <w:tcW w:w="648" w:type="dxa"/>
            <w:vMerge w:val="restart"/>
          </w:tcPr>
          <w:p w14:paraId="56131EA0" w14:textId="77777777" w:rsidR="00040721" w:rsidRPr="004752D5" w:rsidRDefault="00040721" w:rsidP="004752D5">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96</w:t>
            </w:r>
            <w:r w:rsidR="002B3010" w:rsidRPr="004752D5">
              <w:rPr>
                <w:rFonts w:ascii="MS Mincho" w:eastAsia="MS Mincho" w:hAnsi="MS Mincho" w:cs="MS Mincho" w:hint="eastAsia"/>
                <w:sz w:val="20"/>
                <w:szCs w:val="20"/>
                <w:lang w:val="hy-AM"/>
              </w:rPr>
              <w:t>․</w:t>
            </w:r>
          </w:p>
          <w:p w14:paraId="2595958C" w14:textId="6BE9F648" w:rsidR="002B3010" w:rsidRPr="004752D5" w:rsidRDefault="002B3010" w:rsidP="004752D5">
            <w:pPr>
              <w:autoSpaceDE w:val="0"/>
              <w:autoSpaceDN w:val="0"/>
              <w:adjustRightInd w:val="0"/>
              <w:ind w:right="-90"/>
              <w:jc w:val="left"/>
              <w:rPr>
                <w:rFonts w:ascii="GHEA Grapalat" w:hAnsi="GHEA Grapalat" w:cs="Arial"/>
                <w:sz w:val="20"/>
                <w:szCs w:val="20"/>
                <w:lang w:val="hy-AM"/>
              </w:rPr>
            </w:pPr>
            <w:r w:rsidRPr="00095FFE">
              <w:rPr>
                <w:rFonts w:ascii="GHEA Grapalat" w:hAnsi="GHEA Grapalat" w:cs="Arial"/>
                <w:sz w:val="20"/>
                <w:szCs w:val="20"/>
                <w:lang w:val="hy-AM"/>
              </w:rPr>
              <w:t>/նախկին</w:t>
            </w:r>
            <w:r>
              <w:rPr>
                <w:rFonts w:ascii="GHEA Grapalat" w:hAnsi="GHEA Grapalat" w:cs="Arial"/>
                <w:sz w:val="20"/>
                <w:szCs w:val="20"/>
                <w:lang w:val="hy-AM"/>
              </w:rPr>
              <w:t>՝</w:t>
            </w:r>
            <w:r w:rsidRPr="00095FFE">
              <w:rPr>
                <w:rFonts w:ascii="GHEA Grapalat" w:hAnsi="GHEA Grapalat" w:cs="Arial"/>
                <w:sz w:val="20"/>
                <w:szCs w:val="20"/>
                <w:lang w:val="hy-AM"/>
              </w:rPr>
              <w:t xml:space="preserve"> 9</w:t>
            </w:r>
            <w:r>
              <w:rPr>
                <w:rFonts w:ascii="GHEA Grapalat" w:hAnsi="GHEA Grapalat" w:cs="Arial"/>
                <w:sz w:val="20"/>
                <w:szCs w:val="20"/>
                <w:lang w:val="hy-AM"/>
              </w:rPr>
              <w:t>7</w:t>
            </w:r>
            <w:r w:rsidRPr="004752D5">
              <w:rPr>
                <w:rFonts w:ascii="GHEA Grapalat" w:hAnsi="GHEA Grapalat" w:cs="Arial"/>
                <w:sz w:val="20"/>
                <w:szCs w:val="20"/>
                <w:lang w:val="hy-AM"/>
              </w:rPr>
              <w:t>/</w:t>
            </w:r>
          </w:p>
        </w:tc>
        <w:tc>
          <w:tcPr>
            <w:tcW w:w="2952" w:type="dxa"/>
            <w:vMerge w:val="restart"/>
          </w:tcPr>
          <w:p w14:paraId="7696D254" w14:textId="77777777" w:rsidR="00040721" w:rsidRPr="004752D5" w:rsidRDefault="00040721" w:rsidP="004752D5">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Բնակչության սոցիալ-տնտեսական խնդիրների լուծում, այդ նպատակով պետական սեփականություն համարվող հանրակացարանային տարածքների նվիրատվության և սեփականաշնորհման գործընթացի ավարտում</w:t>
            </w:r>
          </w:p>
        </w:tc>
        <w:tc>
          <w:tcPr>
            <w:tcW w:w="3420" w:type="dxa"/>
          </w:tcPr>
          <w:p w14:paraId="130FE2BE" w14:textId="0C1CF89E" w:rsidR="00040721" w:rsidRPr="004752D5" w:rsidRDefault="00040721" w:rsidP="004752D5">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96.1 «Հայաստանի Հանրապետության կառավարության 2011 թվականի մարտի 24-ի N 305-Ն որոշման մեջ փոփոխություններ և լրացումներ կատարելու մասին» ՀՀ կառավարության որոշման նախագծի ներկայացումը ՀՀ վարչապետի աշխատակազմ</w:t>
            </w:r>
          </w:p>
        </w:tc>
        <w:tc>
          <w:tcPr>
            <w:tcW w:w="4500" w:type="dxa"/>
            <w:vMerge w:val="restart"/>
          </w:tcPr>
          <w:p w14:paraId="2FCBE327" w14:textId="432952B7" w:rsidR="00040721" w:rsidRPr="004752D5" w:rsidRDefault="00040721" w:rsidP="004752D5">
            <w:pPr>
              <w:autoSpaceDE w:val="0"/>
              <w:autoSpaceDN w:val="0"/>
              <w:adjustRightInd w:val="0"/>
              <w:ind w:right="-15"/>
              <w:rPr>
                <w:rFonts w:ascii="GHEA Grapalat" w:hAnsi="GHEA Grapalat" w:cs="Arial"/>
                <w:sz w:val="20"/>
                <w:szCs w:val="20"/>
                <w:lang w:val="hy-AM"/>
              </w:rPr>
            </w:pPr>
            <w:r w:rsidRPr="004752D5">
              <w:rPr>
                <w:rFonts w:ascii="GHEA Grapalat" w:hAnsi="GHEA Grapalat" w:cs="Arial"/>
                <w:sz w:val="20"/>
                <w:szCs w:val="20"/>
                <w:lang w:val="hy-AM"/>
              </w:rPr>
              <w:t>ՀՀ ՏԿԵՆ պետական գույքի կառավարման կոմիտեի</w:t>
            </w:r>
            <w:r w:rsidR="004F77EF" w:rsidRPr="004752D5">
              <w:rPr>
                <w:rFonts w:ascii="GHEA Grapalat" w:hAnsi="GHEA Grapalat" w:cs="Arial"/>
                <w:sz w:val="20"/>
                <w:szCs w:val="20"/>
                <w:lang w:val="hy-AM"/>
              </w:rPr>
              <w:t xml:space="preserve"> (այսուհետ՝ Կոմիտե)</w:t>
            </w:r>
            <w:r w:rsidRPr="004752D5">
              <w:rPr>
                <w:rFonts w:ascii="GHEA Grapalat" w:hAnsi="GHEA Grapalat" w:cs="Arial"/>
                <w:sz w:val="20"/>
                <w:szCs w:val="20"/>
                <w:lang w:val="hy-AM"/>
              </w:rPr>
              <w:t xml:space="preserve"> կողմից մշակվել և 2024 թվականի դեկտեմբերի 19-ին ՀՀ կառավարության կողմից ընդունվել է «Պետական սեփականություն հանդիսացող գույքի նվիրատվության և նվիրաբերության ու պետական, բյուջետային հիմնարկների տնօրինության տակ գտնվող հանրակացարանային բնակելի տարածքների նվիրատվության և հանրակացարանային բնակարանային ֆոնդի սեփականաշնորհման կարգերը հաստատելու և Հայաստանի Հանրապետության տարածքային </w:t>
            </w:r>
            <w:r w:rsidRPr="004752D5">
              <w:rPr>
                <w:rFonts w:ascii="GHEA Grapalat" w:hAnsi="GHEA Grapalat" w:cs="Arial"/>
                <w:sz w:val="20"/>
                <w:szCs w:val="20"/>
                <w:lang w:val="hy-AM"/>
              </w:rPr>
              <w:lastRenderedPageBreak/>
              <w:t>կառավարման և ենթակառուցվածքների նախարարության պետական գույքի կառավարման կոմիտեին նվեր ընդունելու լիազորություններ վերապահելու մասին» N 2037-Ն որոշումը։</w:t>
            </w:r>
          </w:p>
          <w:p w14:paraId="68EEC021" w14:textId="77777777" w:rsidR="00040721" w:rsidRPr="004752D5" w:rsidRDefault="00040721" w:rsidP="004752D5">
            <w:pPr>
              <w:autoSpaceDE w:val="0"/>
              <w:autoSpaceDN w:val="0"/>
              <w:adjustRightInd w:val="0"/>
              <w:ind w:right="-15"/>
              <w:rPr>
                <w:rFonts w:ascii="GHEA Grapalat" w:hAnsi="GHEA Grapalat" w:cs="Arial"/>
                <w:sz w:val="20"/>
                <w:szCs w:val="20"/>
                <w:lang w:val="hy-AM"/>
              </w:rPr>
            </w:pPr>
          </w:p>
        </w:tc>
        <w:tc>
          <w:tcPr>
            <w:tcW w:w="2610" w:type="dxa"/>
          </w:tcPr>
          <w:p w14:paraId="132366F2" w14:textId="090C44CC" w:rsidR="00040721" w:rsidRPr="004752D5" w:rsidRDefault="00AF41DB" w:rsidP="004752D5">
            <w:pPr>
              <w:autoSpaceDE w:val="0"/>
              <w:autoSpaceDN w:val="0"/>
              <w:adjustRightInd w:val="0"/>
              <w:ind w:right="-90"/>
              <w:jc w:val="left"/>
              <w:rPr>
                <w:rFonts w:ascii="GHEA Grapalat" w:hAnsi="GHEA Grapalat" w:cs="Arial"/>
                <w:sz w:val="20"/>
                <w:szCs w:val="20"/>
                <w:lang w:val="hy-AM"/>
              </w:rPr>
            </w:pPr>
            <w:r>
              <w:rPr>
                <w:rFonts w:ascii="GHEA Grapalat" w:hAnsi="GHEA Grapalat" w:cs="Arial"/>
                <w:sz w:val="20"/>
                <w:szCs w:val="20"/>
                <w:lang w:val="hy-AM"/>
              </w:rPr>
              <w:lastRenderedPageBreak/>
              <w:t>Մ</w:t>
            </w:r>
            <w:r w:rsidR="008B2A8F" w:rsidRPr="008B2A8F">
              <w:rPr>
                <w:rFonts w:ascii="GHEA Grapalat" w:hAnsi="GHEA Grapalat" w:cs="Arial"/>
                <w:sz w:val="20"/>
                <w:szCs w:val="20"/>
                <w:lang w:val="hy-AM"/>
              </w:rPr>
              <w:t>ինչև 2024 թվականի նոյեմբերի 2-րդ տասնօրյակ</w:t>
            </w:r>
            <w:r w:rsidR="008B2A8F">
              <w:rPr>
                <w:rFonts w:ascii="GHEA Grapalat" w:hAnsi="GHEA Grapalat" w:cs="Arial"/>
                <w:sz w:val="20"/>
                <w:szCs w:val="20"/>
                <w:lang w:val="hy-AM"/>
              </w:rPr>
              <w:t>։</w:t>
            </w:r>
          </w:p>
          <w:p w14:paraId="0044244A" w14:textId="68FE9D0D" w:rsidR="00040721" w:rsidRPr="008B2A8F" w:rsidRDefault="00040721" w:rsidP="004752D5">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Կատարվել է սահմանված ժամկետում</w:t>
            </w:r>
            <w:r w:rsidR="002F770C">
              <w:rPr>
                <w:rFonts w:ascii="GHEA Grapalat" w:hAnsi="GHEA Grapalat" w:cs="Arial"/>
                <w:sz w:val="20"/>
                <w:szCs w:val="20"/>
                <w:lang w:val="hy-AM"/>
              </w:rPr>
              <w:t>։</w:t>
            </w:r>
          </w:p>
        </w:tc>
        <w:tc>
          <w:tcPr>
            <w:tcW w:w="1332" w:type="dxa"/>
            <w:vMerge w:val="restart"/>
          </w:tcPr>
          <w:p w14:paraId="5130DC8F" w14:textId="77777777" w:rsidR="00040721" w:rsidRPr="004752D5" w:rsidRDefault="00040721" w:rsidP="004752D5">
            <w:pPr>
              <w:autoSpaceDE w:val="0"/>
              <w:autoSpaceDN w:val="0"/>
              <w:adjustRightInd w:val="0"/>
              <w:ind w:right="-90"/>
              <w:jc w:val="left"/>
              <w:rPr>
                <w:rFonts w:ascii="GHEA Grapalat" w:hAnsi="GHEA Grapalat" w:cs="Arial"/>
                <w:sz w:val="20"/>
                <w:szCs w:val="20"/>
                <w:lang w:val="hy-AM"/>
              </w:rPr>
            </w:pPr>
          </w:p>
        </w:tc>
      </w:tr>
      <w:tr w:rsidR="00C25CE0" w:rsidRPr="00D8648A" w14:paraId="151C0D6D" w14:textId="77777777" w:rsidTr="009027C9">
        <w:tc>
          <w:tcPr>
            <w:tcW w:w="648" w:type="dxa"/>
            <w:vMerge/>
          </w:tcPr>
          <w:p w14:paraId="0567301F" w14:textId="77777777" w:rsidR="00C25CE0" w:rsidRPr="004752D5" w:rsidRDefault="00C25CE0" w:rsidP="00C25CE0">
            <w:pPr>
              <w:autoSpaceDE w:val="0"/>
              <w:autoSpaceDN w:val="0"/>
              <w:adjustRightInd w:val="0"/>
              <w:ind w:right="-90"/>
              <w:jc w:val="left"/>
              <w:rPr>
                <w:rFonts w:ascii="GHEA Grapalat" w:hAnsi="GHEA Grapalat" w:cs="Arial"/>
                <w:sz w:val="20"/>
                <w:szCs w:val="20"/>
                <w:lang w:val="hy-AM"/>
              </w:rPr>
            </w:pPr>
          </w:p>
        </w:tc>
        <w:tc>
          <w:tcPr>
            <w:tcW w:w="2952" w:type="dxa"/>
            <w:vMerge/>
          </w:tcPr>
          <w:p w14:paraId="62ADD5B3" w14:textId="77777777" w:rsidR="00C25CE0" w:rsidRPr="004752D5" w:rsidRDefault="00C25CE0" w:rsidP="00C25CE0">
            <w:pPr>
              <w:autoSpaceDE w:val="0"/>
              <w:autoSpaceDN w:val="0"/>
              <w:adjustRightInd w:val="0"/>
              <w:ind w:right="-90"/>
              <w:jc w:val="left"/>
              <w:rPr>
                <w:rFonts w:ascii="GHEA Grapalat" w:hAnsi="GHEA Grapalat" w:cs="Arial"/>
                <w:sz w:val="20"/>
                <w:szCs w:val="20"/>
                <w:lang w:val="hy-AM"/>
              </w:rPr>
            </w:pPr>
          </w:p>
        </w:tc>
        <w:tc>
          <w:tcPr>
            <w:tcW w:w="3420" w:type="dxa"/>
          </w:tcPr>
          <w:p w14:paraId="41EC15F5" w14:textId="4A7386F2" w:rsidR="00C25CE0" w:rsidRPr="004752D5" w:rsidRDefault="00C25CE0" w:rsidP="00C25CE0">
            <w:pPr>
              <w:spacing w:line="276" w:lineRule="auto"/>
              <w:jc w:val="left"/>
              <w:rPr>
                <w:rFonts w:ascii="GHEA Grapalat" w:hAnsi="GHEA Grapalat" w:cs="Arial"/>
                <w:sz w:val="20"/>
                <w:szCs w:val="20"/>
                <w:lang w:val="hy-AM"/>
              </w:rPr>
            </w:pPr>
            <w:r w:rsidRPr="004752D5">
              <w:rPr>
                <w:rFonts w:ascii="GHEA Grapalat" w:hAnsi="GHEA Grapalat" w:cs="Arial"/>
                <w:sz w:val="20"/>
                <w:szCs w:val="20"/>
                <w:lang w:val="hy-AM"/>
              </w:rPr>
              <w:t xml:space="preserve">96.2 «Հայաստանի Հանրապետության կառավարության 2001 թվականի </w:t>
            </w:r>
            <w:r w:rsidRPr="004752D5">
              <w:rPr>
                <w:rFonts w:ascii="GHEA Grapalat" w:hAnsi="GHEA Grapalat" w:cs="Arial"/>
                <w:sz w:val="20"/>
                <w:szCs w:val="20"/>
                <w:lang w:val="hy-AM"/>
              </w:rPr>
              <w:lastRenderedPageBreak/>
              <w:t>մայիսի 14-ի N 404 որոշման մեջ փոփոխություններ և լրացումներ կատարելու մասին» ՀՀ կառավարության որոշման նախագծի ներկայացումը ՀՀ վարչապետի աշխատակազմ</w:t>
            </w:r>
          </w:p>
        </w:tc>
        <w:tc>
          <w:tcPr>
            <w:tcW w:w="4500" w:type="dxa"/>
            <w:vMerge/>
          </w:tcPr>
          <w:p w14:paraId="12BF0260" w14:textId="306EAC55" w:rsidR="00C25CE0" w:rsidRPr="004752D5" w:rsidRDefault="00C25CE0" w:rsidP="00C25CE0">
            <w:pPr>
              <w:ind w:right="-15"/>
              <w:jc w:val="left"/>
              <w:rPr>
                <w:rFonts w:ascii="GHEA Grapalat" w:hAnsi="GHEA Grapalat" w:cs="Arial"/>
                <w:sz w:val="20"/>
                <w:szCs w:val="20"/>
                <w:lang w:val="hy-AM"/>
              </w:rPr>
            </w:pPr>
          </w:p>
        </w:tc>
        <w:tc>
          <w:tcPr>
            <w:tcW w:w="2610" w:type="dxa"/>
          </w:tcPr>
          <w:p w14:paraId="3C38B157" w14:textId="46866485" w:rsidR="00C25CE0" w:rsidRDefault="00AF41DB" w:rsidP="00C25CE0">
            <w:pPr>
              <w:autoSpaceDE w:val="0"/>
              <w:autoSpaceDN w:val="0"/>
              <w:adjustRightInd w:val="0"/>
              <w:ind w:right="-90"/>
              <w:jc w:val="left"/>
              <w:rPr>
                <w:rFonts w:ascii="GHEA Grapalat" w:hAnsi="GHEA Grapalat" w:cs="Arial"/>
                <w:sz w:val="20"/>
                <w:szCs w:val="20"/>
                <w:lang w:val="hy-AM"/>
              </w:rPr>
            </w:pPr>
            <w:r>
              <w:rPr>
                <w:rFonts w:ascii="GHEA Grapalat" w:hAnsi="GHEA Grapalat" w:cs="Arial"/>
                <w:sz w:val="20"/>
                <w:szCs w:val="20"/>
                <w:lang w:val="hy-AM"/>
              </w:rPr>
              <w:t>Մ</w:t>
            </w:r>
            <w:r w:rsidR="00C25CE0" w:rsidRPr="00C25CE0">
              <w:rPr>
                <w:rFonts w:ascii="GHEA Grapalat" w:hAnsi="GHEA Grapalat" w:cs="Arial"/>
                <w:sz w:val="20"/>
                <w:szCs w:val="20"/>
                <w:lang w:val="hy-AM"/>
              </w:rPr>
              <w:t>ինչև 2024 թվականի դեկտեմբերի 3-րդ տասնօրյակ։</w:t>
            </w:r>
          </w:p>
          <w:p w14:paraId="44CAC6D6" w14:textId="146E5D51" w:rsidR="00C25CE0" w:rsidRPr="004752D5" w:rsidRDefault="00C25CE0" w:rsidP="00C25CE0">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 xml:space="preserve">Կատարվել է սահմանված </w:t>
            </w:r>
            <w:r w:rsidRPr="004752D5">
              <w:rPr>
                <w:rFonts w:ascii="GHEA Grapalat" w:hAnsi="GHEA Grapalat" w:cs="Arial"/>
                <w:sz w:val="20"/>
                <w:szCs w:val="20"/>
                <w:lang w:val="hy-AM"/>
              </w:rPr>
              <w:lastRenderedPageBreak/>
              <w:t>ժամկետում</w:t>
            </w:r>
            <w:r w:rsidR="002F770C">
              <w:rPr>
                <w:rFonts w:ascii="GHEA Grapalat" w:hAnsi="GHEA Grapalat" w:cs="Arial"/>
                <w:sz w:val="20"/>
                <w:szCs w:val="20"/>
                <w:lang w:val="hy-AM"/>
              </w:rPr>
              <w:t>։</w:t>
            </w:r>
          </w:p>
        </w:tc>
        <w:tc>
          <w:tcPr>
            <w:tcW w:w="1332" w:type="dxa"/>
            <w:vMerge/>
          </w:tcPr>
          <w:p w14:paraId="323ACECB" w14:textId="77777777" w:rsidR="00C25CE0" w:rsidRPr="004752D5" w:rsidRDefault="00C25CE0" w:rsidP="00C25CE0">
            <w:pPr>
              <w:autoSpaceDE w:val="0"/>
              <w:autoSpaceDN w:val="0"/>
              <w:adjustRightInd w:val="0"/>
              <w:ind w:right="-90"/>
              <w:jc w:val="left"/>
              <w:rPr>
                <w:rFonts w:ascii="GHEA Grapalat" w:hAnsi="GHEA Grapalat" w:cs="Arial"/>
                <w:sz w:val="20"/>
                <w:szCs w:val="20"/>
                <w:lang w:val="hy-AM"/>
              </w:rPr>
            </w:pPr>
          </w:p>
        </w:tc>
      </w:tr>
      <w:tr w:rsidR="00C25CE0" w:rsidRPr="00D8648A" w14:paraId="282F103F" w14:textId="77777777" w:rsidTr="009027C9">
        <w:tc>
          <w:tcPr>
            <w:tcW w:w="648" w:type="dxa"/>
            <w:vMerge/>
          </w:tcPr>
          <w:p w14:paraId="703BD39B" w14:textId="77777777" w:rsidR="00C25CE0" w:rsidRPr="004752D5" w:rsidRDefault="00C25CE0" w:rsidP="00C25CE0">
            <w:pPr>
              <w:autoSpaceDE w:val="0"/>
              <w:autoSpaceDN w:val="0"/>
              <w:adjustRightInd w:val="0"/>
              <w:ind w:right="-90"/>
              <w:jc w:val="left"/>
              <w:rPr>
                <w:rFonts w:ascii="GHEA Grapalat" w:hAnsi="GHEA Grapalat" w:cs="Arial"/>
                <w:sz w:val="20"/>
                <w:szCs w:val="20"/>
                <w:lang w:val="hy-AM"/>
              </w:rPr>
            </w:pPr>
          </w:p>
        </w:tc>
        <w:tc>
          <w:tcPr>
            <w:tcW w:w="2952" w:type="dxa"/>
            <w:vMerge/>
          </w:tcPr>
          <w:p w14:paraId="4231C650" w14:textId="77777777" w:rsidR="00C25CE0" w:rsidRPr="004752D5" w:rsidRDefault="00C25CE0" w:rsidP="00C25CE0">
            <w:pPr>
              <w:autoSpaceDE w:val="0"/>
              <w:autoSpaceDN w:val="0"/>
              <w:adjustRightInd w:val="0"/>
              <w:ind w:right="-90"/>
              <w:jc w:val="left"/>
              <w:rPr>
                <w:rFonts w:ascii="GHEA Grapalat" w:hAnsi="GHEA Grapalat" w:cs="Arial"/>
                <w:sz w:val="20"/>
                <w:szCs w:val="20"/>
                <w:lang w:val="hy-AM"/>
              </w:rPr>
            </w:pPr>
          </w:p>
        </w:tc>
        <w:tc>
          <w:tcPr>
            <w:tcW w:w="3420" w:type="dxa"/>
          </w:tcPr>
          <w:p w14:paraId="0A91BF36" w14:textId="7E33C551" w:rsidR="00C25CE0" w:rsidRPr="004752D5" w:rsidRDefault="00C25CE0" w:rsidP="00C25CE0">
            <w:pPr>
              <w:spacing w:line="276" w:lineRule="auto"/>
              <w:jc w:val="left"/>
              <w:rPr>
                <w:rFonts w:ascii="GHEA Grapalat" w:hAnsi="GHEA Grapalat" w:cs="Arial"/>
                <w:sz w:val="20"/>
                <w:szCs w:val="20"/>
                <w:lang w:val="hy-AM"/>
              </w:rPr>
            </w:pPr>
            <w:r w:rsidRPr="004752D5">
              <w:rPr>
                <w:rFonts w:ascii="GHEA Grapalat" w:hAnsi="GHEA Grapalat" w:cs="Arial"/>
                <w:sz w:val="20"/>
                <w:szCs w:val="20"/>
                <w:lang w:val="hy-AM"/>
              </w:rPr>
              <w:t>96.3 «Պետական սեփականություն հանդիսացող գույքի նվիրատվության և նվիրաբերության կարգերը հաստատելու ու 2016 թվականի հոկտեմբերի 3-ի N 1067- Ն որոշումն ուժն կորցրած ճանաչելու մասին» ՀՀ կառավարության որոշման ընդունում</w:t>
            </w:r>
          </w:p>
        </w:tc>
        <w:tc>
          <w:tcPr>
            <w:tcW w:w="4500" w:type="dxa"/>
            <w:vMerge/>
          </w:tcPr>
          <w:p w14:paraId="14612D6C" w14:textId="6B266575" w:rsidR="00C25CE0" w:rsidRPr="004752D5" w:rsidRDefault="00C25CE0" w:rsidP="00C25CE0">
            <w:pPr>
              <w:spacing w:line="276" w:lineRule="auto"/>
              <w:ind w:right="-15"/>
              <w:jc w:val="left"/>
              <w:rPr>
                <w:rFonts w:ascii="GHEA Grapalat" w:hAnsi="GHEA Grapalat" w:cs="Arial"/>
                <w:sz w:val="20"/>
                <w:szCs w:val="20"/>
                <w:lang w:val="hy-AM"/>
              </w:rPr>
            </w:pPr>
          </w:p>
        </w:tc>
        <w:tc>
          <w:tcPr>
            <w:tcW w:w="2610" w:type="dxa"/>
          </w:tcPr>
          <w:p w14:paraId="165F49E2" w14:textId="6346B42C" w:rsidR="00C25CE0" w:rsidRDefault="00AF41DB" w:rsidP="00C25CE0">
            <w:pPr>
              <w:autoSpaceDE w:val="0"/>
              <w:autoSpaceDN w:val="0"/>
              <w:adjustRightInd w:val="0"/>
              <w:ind w:right="-90"/>
              <w:jc w:val="left"/>
              <w:rPr>
                <w:rFonts w:ascii="GHEA Grapalat" w:hAnsi="GHEA Grapalat" w:cs="Arial"/>
                <w:sz w:val="20"/>
                <w:szCs w:val="20"/>
                <w:lang w:val="hy-AM"/>
              </w:rPr>
            </w:pPr>
            <w:r>
              <w:rPr>
                <w:rFonts w:ascii="GHEA Grapalat" w:hAnsi="GHEA Grapalat" w:cs="Arial"/>
                <w:sz w:val="20"/>
                <w:szCs w:val="20"/>
                <w:lang w:val="hy-AM"/>
              </w:rPr>
              <w:t>Մ</w:t>
            </w:r>
            <w:r w:rsidR="00C25CE0" w:rsidRPr="00C25CE0">
              <w:rPr>
                <w:rFonts w:ascii="GHEA Grapalat" w:hAnsi="GHEA Grapalat" w:cs="Arial"/>
                <w:sz w:val="20"/>
                <w:szCs w:val="20"/>
                <w:lang w:val="hy-AM"/>
              </w:rPr>
              <w:t>ինչև 2024 թվականի դեկտեմբերի 3-րդ տասնօրյակ։</w:t>
            </w:r>
          </w:p>
          <w:p w14:paraId="6F18418D" w14:textId="61CD1A14" w:rsidR="00C25CE0" w:rsidRPr="004752D5" w:rsidRDefault="00C25CE0" w:rsidP="00C25CE0">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Կատարվել է սահմանված ժամկետում</w:t>
            </w:r>
            <w:r w:rsidR="002F770C">
              <w:rPr>
                <w:rFonts w:ascii="GHEA Grapalat" w:hAnsi="GHEA Grapalat" w:cs="Arial"/>
                <w:sz w:val="20"/>
                <w:szCs w:val="20"/>
                <w:lang w:val="hy-AM"/>
              </w:rPr>
              <w:t>։</w:t>
            </w:r>
          </w:p>
        </w:tc>
        <w:tc>
          <w:tcPr>
            <w:tcW w:w="1332" w:type="dxa"/>
            <w:vMerge/>
          </w:tcPr>
          <w:p w14:paraId="1097BCB4" w14:textId="77777777" w:rsidR="00C25CE0" w:rsidRPr="004752D5" w:rsidRDefault="00C25CE0" w:rsidP="00C25CE0">
            <w:pPr>
              <w:autoSpaceDE w:val="0"/>
              <w:autoSpaceDN w:val="0"/>
              <w:adjustRightInd w:val="0"/>
              <w:ind w:right="-90"/>
              <w:jc w:val="left"/>
              <w:rPr>
                <w:rFonts w:ascii="GHEA Grapalat" w:hAnsi="GHEA Grapalat" w:cs="Arial"/>
                <w:sz w:val="20"/>
                <w:szCs w:val="20"/>
                <w:lang w:val="hy-AM"/>
              </w:rPr>
            </w:pPr>
          </w:p>
        </w:tc>
      </w:tr>
      <w:tr w:rsidR="00C25CE0" w:rsidRPr="000640AE" w14:paraId="079A402B" w14:textId="77777777" w:rsidTr="009027C9">
        <w:tc>
          <w:tcPr>
            <w:tcW w:w="648" w:type="dxa"/>
          </w:tcPr>
          <w:p w14:paraId="40DB467F" w14:textId="77777777" w:rsidR="00C25CE0" w:rsidRPr="004752D5" w:rsidRDefault="00C25CE0" w:rsidP="00C25CE0">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97</w:t>
            </w:r>
            <w:r w:rsidRPr="004752D5">
              <w:rPr>
                <w:rFonts w:ascii="MS Mincho" w:eastAsia="MS Mincho" w:hAnsi="MS Mincho" w:cs="MS Mincho" w:hint="eastAsia"/>
                <w:sz w:val="20"/>
                <w:szCs w:val="20"/>
                <w:lang w:val="hy-AM"/>
              </w:rPr>
              <w:t>․</w:t>
            </w:r>
          </w:p>
          <w:p w14:paraId="308F05F9" w14:textId="184A0D39" w:rsidR="00C25CE0" w:rsidRPr="004752D5" w:rsidRDefault="00C25CE0" w:rsidP="00C25CE0">
            <w:pPr>
              <w:autoSpaceDE w:val="0"/>
              <w:autoSpaceDN w:val="0"/>
              <w:adjustRightInd w:val="0"/>
              <w:ind w:right="-90"/>
              <w:jc w:val="left"/>
              <w:rPr>
                <w:rFonts w:ascii="GHEA Grapalat" w:hAnsi="GHEA Grapalat" w:cs="Arial"/>
                <w:sz w:val="20"/>
                <w:szCs w:val="20"/>
                <w:lang w:val="hy-AM"/>
              </w:rPr>
            </w:pPr>
            <w:r w:rsidRPr="00095FFE">
              <w:rPr>
                <w:rFonts w:ascii="GHEA Grapalat" w:hAnsi="GHEA Grapalat" w:cs="Arial"/>
                <w:sz w:val="20"/>
                <w:szCs w:val="20"/>
                <w:lang w:val="hy-AM"/>
              </w:rPr>
              <w:t>/նախկին</w:t>
            </w:r>
            <w:r>
              <w:rPr>
                <w:rFonts w:ascii="GHEA Grapalat" w:hAnsi="GHEA Grapalat" w:cs="Arial"/>
                <w:sz w:val="20"/>
                <w:szCs w:val="20"/>
                <w:lang w:val="hy-AM"/>
              </w:rPr>
              <w:t>՝</w:t>
            </w:r>
            <w:r w:rsidRPr="00095FFE">
              <w:rPr>
                <w:rFonts w:ascii="GHEA Grapalat" w:hAnsi="GHEA Grapalat" w:cs="Arial"/>
                <w:sz w:val="20"/>
                <w:szCs w:val="20"/>
                <w:lang w:val="hy-AM"/>
              </w:rPr>
              <w:t xml:space="preserve"> 9</w:t>
            </w:r>
            <w:r>
              <w:rPr>
                <w:rFonts w:ascii="GHEA Grapalat" w:hAnsi="GHEA Grapalat" w:cs="Arial"/>
                <w:sz w:val="20"/>
                <w:szCs w:val="20"/>
                <w:lang w:val="hy-AM"/>
              </w:rPr>
              <w:t>8/</w:t>
            </w:r>
          </w:p>
        </w:tc>
        <w:tc>
          <w:tcPr>
            <w:tcW w:w="2952" w:type="dxa"/>
          </w:tcPr>
          <w:p w14:paraId="79E4E710" w14:textId="77777777" w:rsidR="00C25CE0" w:rsidRPr="004752D5" w:rsidRDefault="00C25CE0" w:rsidP="00C25CE0">
            <w:pPr>
              <w:pStyle w:val="a4"/>
              <w:autoSpaceDE w:val="0"/>
              <w:autoSpaceDN w:val="0"/>
              <w:adjustRightInd w:val="0"/>
              <w:ind w:right="-90"/>
              <w:rPr>
                <w:rFonts w:ascii="GHEA Grapalat" w:eastAsiaTheme="minorHAnsi" w:hAnsi="GHEA Grapalat" w:cs="Arial"/>
                <w:sz w:val="20"/>
                <w:szCs w:val="20"/>
              </w:rPr>
            </w:pPr>
            <w:r w:rsidRPr="004752D5">
              <w:rPr>
                <w:rFonts w:ascii="GHEA Grapalat" w:eastAsiaTheme="minorHAnsi" w:hAnsi="GHEA Grapalat" w:cs="Arial"/>
                <w:sz w:val="20"/>
                <w:szCs w:val="20"/>
              </w:rPr>
              <w:t>Պետական գույքի արդյունավետության բարձրացում, պետական գույքի էլեկտրոնային հաշվառման միասնական բազայի տվյալների հիման վրա պետական գույքի օգտագործման վիճակի մշտադիտարկման, վերլուծության, ինչպես նաև արդյունավետության մակարդակի գնահատման շնորհիվ պետական գույքի օգտագործումը կանոնակարգող իրավական ակտերի պահանջներից շեղումների, խախտումների  և դրանց պատճառած վնասի բացահայտում</w:t>
            </w:r>
          </w:p>
          <w:p w14:paraId="5D814733" w14:textId="77777777" w:rsidR="00C25CE0" w:rsidRPr="004752D5" w:rsidRDefault="00C25CE0" w:rsidP="00C25CE0">
            <w:pPr>
              <w:autoSpaceDE w:val="0"/>
              <w:autoSpaceDN w:val="0"/>
              <w:adjustRightInd w:val="0"/>
              <w:ind w:right="-90"/>
              <w:jc w:val="left"/>
              <w:rPr>
                <w:rFonts w:ascii="GHEA Grapalat" w:hAnsi="GHEA Grapalat" w:cs="Arial"/>
                <w:sz w:val="20"/>
                <w:szCs w:val="20"/>
                <w:lang w:val="hy-AM"/>
              </w:rPr>
            </w:pPr>
          </w:p>
        </w:tc>
        <w:tc>
          <w:tcPr>
            <w:tcW w:w="3420" w:type="dxa"/>
          </w:tcPr>
          <w:p w14:paraId="43954911" w14:textId="2AC4FCF7" w:rsidR="00C25CE0" w:rsidRPr="004752D5" w:rsidRDefault="00C25CE0" w:rsidP="00C25CE0">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97</w:t>
            </w:r>
            <w:r w:rsidRPr="004752D5">
              <w:rPr>
                <w:rFonts w:ascii="MS Mincho" w:eastAsia="MS Mincho" w:hAnsi="MS Mincho" w:cs="MS Mincho" w:hint="eastAsia"/>
                <w:sz w:val="20"/>
                <w:szCs w:val="20"/>
                <w:lang w:val="hy-AM"/>
              </w:rPr>
              <w:t>․</w:t>
            </w:r>
            <w:r w:rsidRPr="004752D5">
              <w:rPr>
                <w:rFonts w:ascii="GHEA Grapalat" w:hAnsi="GHEA Grapalat" w:cs="Arial"/>
                <w:sz w:val="20"/>
                <w:szCs w:val="20"/>
                <w:lang w:val="hy-AM"/>
              </w:rPr>
              <w:t xml:space="preserve">1  Պետական անշարժ գույքի օգտագործման մշտադիտարկման շնորհիվ գույքի օգտագործման ժամանակահատվածում պատշաճ հսկողության սահմանում, վնասների բացահայտում և դրանք վերականգնելու ուղղությամբ միջոցների ձեռնարկում, ինչպես նաև առաջին անգամ մշտադիտարկման շնորհիվ անշարժ գույքի օգտագործման արդյունավետության գնահատում: </w:t>
            </w:r>
          </w:p>
          <w:p w14:paraId="5120ED56" w14:textId="77777777" w:rsidR="00C25CE0" w:rsidRPr="004752D5" w:rsidRDefault="00C25CE0" w:rsidP="00C25CE0">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 xml:space="preserve">Իրավական ակտերի պահանջներից և կնքված պայմանագրերով ստանձնած պարտավորություններից թույլ տված շեղումների, խախտումների բացահայտում,  չօգտագործվող կամ ոչ արդյունավետ օգտագործվող պետական գույքի առանձնացում, արդյունքների վերաբերյալ հաշվետվությունների և գույքի օգտագործման բարելավման </w:t>
            </w:r>
            <w:r w:rsidRPr="004752D5">
              <w:rPr>
                <w:rFonts w:ascii="GHEA Grapalat" w:hAnsi="GHEA Grapalat" w:cs="Arial"/>
                <w:sz w:val="20"/>
                <w:szCs w:val="20"/>
                <w:lang w:val="hy-AM"/>
              </w:rPr>
              <w:lastRenderedPageBreak/>
              <w:t>վերաբերյալ, Կոմիտեի գործող ստորաբաժանումների օպտիմալացման արդյունքում և հաստիքների օգտագործման շնորհիվ նոր մշտադիտարկման վարչության ստեղծելու մասին առաջարկությունների ներկայացում ՀՀ Վարչապետի աշխատակազմ</w:t>
            </w:r>
          </w:p>
        </w:tc>
        <w:tc>
          <w:tcPr>
            <w:tcW w:w="4500" w:type="dxa"/>
          </w:tcPr>
          <w:p w14:paraId="3B991A2F" w14:textId="77777777" w:rsidR="00C25CE0" w:rsidRPr="004752D5" w:rsidRDefault="00C25CE0" w:rsidP="00C25CE0">
            <w:pPr>
              <w:autoSpaceDE w:val="0"/>
              <w:autoSpaceDN w:val="0"/>
              <w:adjustRightInd w:val="0"/>
              <w:ind w:right="-15"/>
              <w:rPr>
                <w:rFonts w:ascii="GHEA Grapalat" w:hAnsi="GHEA Grapalat" w:cs="Arial"/>
                <w:sz w:val="20"/>
                <w:szCs w:val="20"/>
                <w:lang w:val="hy-AM"/>
              </w:rPr>
            </w:pPr>
            <w:r w:rsidRPr="004752D5">
              <w:rPr>
                <w:rFonts w:ascii="GHEA Grapalat" w:hAnsi="GHEA Grapalat" w:cs="Arial"/>
                <w:sz w:val="20"/>
                <w:szCs w:val="20"/>
                <w:lang w:val="hy-AM"/>
              </w:rPr>
              <w:lastRenderedPageBreak/>
              <w:t>Հիմք ընդունելով ՀՀ կառավարության 2021 թվականի փետրվարի 18-ի 202-Ն որոշման պահանջները՝ պետական գույքի օգտագործման և պահպանման վիճակը բացահայտելու և բարելավելու նպատակով Կոմիտեին հանձնված պետական գույքի օգտագործման և պահպանման նկատմամբ, աշխատանքային խումբը մոնիթորինգն իրականացրել է պետական սեփականություն համարվող անշարժ գույքի մշտադիտարկման (մոնիթորինգի):</w:t>
            </w:r>
          </w:p>
          <w:p w14:paraId="3CF6056D" w14:textId="3CAD32FC" w:rsidR="00C25CE0" w:rsidRPr="004752D5" w:rsidRDefault="00C25CE0" w:rsidP="00C25CE0">
            <w:pPr>
              <w:tabs>
                <w:tab w:val="left" w:pos="9540"/>
                <w:tab w:val="left" w:pos="9810"/>
              </w:tabs>
              <w:autoSpaceDE w:val="0"/>
              <w:autoSpaceDN w:val="0"/>
              <w:adjustRightInd w:val="0"/>
              <w:ind w:right="-15"/>
              <w:rPr>
                <w:rFonts w:ascii="GHEA Grapalat" w:hAnsi="GHEA Grapalat" w:cs="Arial"/>
                <w:sz w:val="20"/>
                <w:szCs w:val="20"/>
                <w:lang w:val="hy-AM"/>
              </w:rPr>
            </w:pPr>
            <w:r w:rsidRPr="004752D5">
              <w:rPr>
                <w:rFonts w:ascii="GHEA Grapalat" w:hAnsi="GHEA Grapalat" w:cs="Arial"/>
                <w:sz w:val="20"/>
                <w:szCs w:val="20"/>
                <w:lang w:val="hy-AM"/>
              </w:rPr>
              <w:t xml:space="preserve"> Հաշվետու ժամանակահատվածի ընթացքում մշտադիտարկման է ենթարկվել թվով 502 անշարժ գույք։ Մոնիթորինգն իրականացվել է գույքը օգտագործողի կողմից անհատույց օգտագործման, վարձակալության և պետական սեփականություն հանդիսացող շենքերի և շինությունների տանիքներին ու ձեղնահարկերում կապի սարքավորումների տեղակայման և սպասարկման պայմանագրերով։ Գույքի մոնիթորինգի ընթացքում բացահայտվել են վերոնշյալ բնագավառները կանոնակարգող իրավական </w:t>
            </w:r>
            <w:r w:rsidRPr="004752D5">
              <w:rPr>
                <w:rFonts w:ascii="GHEA Grapalat" w:hAnsi="GHEA Grapalat" w:cs="Arial"/>
                <w:sz w:val="20"/>
                <w:szCs w:val="20"/>
                <w:lang w:val="hy-AM"/>
              </w:rPr>
              <w:lastRenderedPageBreak/>
              <w:t>ակտերով սահմանված պետական սեփականություն հանդիսացող գույքի օգտագործման տրամադրված պայմանագրի կողմ հանդիսացող պետական մարմնի և օգտագործող սուբյեկտների միջև կնքված պայմանագրերին համապատասխան անշարժ գույքի օգտագործման վիճակը, այդ թվում՝ համապատասխանությունը, շեղումները և շեղումների արդյունքում տեղ գտած խախտումները։</w:t>
            </w:r>
          </w:p>
          <w:p w14:paraId="6DF6A8F6" w14:textId="1D10F30C" w:rsidR="00C25CE0" w:rsidRPr="004752D5" w:rsidRDefault="00C25CE0" w:rsidP="00C25CE0">
            <w:pPr>
              <w:autoSpaceDE w:val="0"/>
              <w:autoSpaceDN w:val="0"/>
              <w:adjustRightInd w:val="0"/>
              <w:ind w:right="-15"/>
              <w:rPr>
                <w:rFonts w:ascii="GHEA Grapalat" w:hAnsi="GHEA Grapalat" w:cs="Arial"/>
                <w:sz w:val="20"/>
                <w:szCs w:val="20"/>
                <w:lang w:val="hy-AM"/>
              </w:rPr>
            </w:pPr>
          </w:p>
        </w:tc>
        <w:tc>
          <w:tcPr>
            <w:tcW w:w="2610" w:type="dxa"/>
          </w:tcPr>
          <w:p w14:paraId="7C8A0262" w14:textId="5BACFE3B" w:rsidR="00AF41DB" w:rsidRPr="00AF41DB" w:rsidRDefault="00AF41DB" w:rsidP="00C25CE0">
            <w:pPr>
              <w:autoSpaceDE w:val="0"/>
              <w:autoSpaceDN w:val="0"/>
              <w:adjustRightInd w:val="0"/>
              <w:ind w:right="-90"/>
              <w:jc w:val="left"/>
              <w:rPr>
                <w:rFonts w:ascii="GHEA Grapalat" w:hAnsi="GHEA Grapalat" w:cs="Arial"/>
                <w:sz w:val="20"/>
                <w:szCs w:val="20"/>
                <w:lang w:val="hy-AM"/>
              </w:rPr>
            </w:pPr>
            <w:r>
              <w:rPr>
                <w:rFonts w:ascii="GHEA Grapalat" w:hAnsi="GHEA Grapalat" w:cs="Arial"/>
                <w:sz w:val="20"/>
                <w:szCs w:val="20"/>
                <w:lang w:val="hy-AM"/>
              </w:rPr>
              <w:lastRenderedPageBreak/>
              <w:t>Մ</w:t>
            </w:r>
            <w:r w:rsidRPr="00AF41DB">
              <w:rPr>
                <w:rFonts w:ascii="GHEA Grapalat" w:hAnsi="GHEA Grapalat" w:cs="Arial"/>
                <w:sz w:val="20"/>
                <w:szCs w:val="20"/>
                <w:lang w:val="hy-AM"/>
              </w:rPr>
              <w:t>ինչև 2023 թվականի դեկտեմբերի 3-րդ տասնօրյակ</w:t>
            </w:r>
          </w:p>
          <w:p w14:paraId="2ABCDD67" w14:textId="43BA6BF9" w:rsidR="00C25CE0" w:rsidRPr="004752D5" w:rsidRDefault="00C25CE0" w:rsidP="00C25CE0">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Կրում է շարունակական բնույթ</w:t>
            </w:r>
            <w:r w:rsidR="002F770C">
              <w:rPr>
                <w:rFonts w:ascii="GHEA Grapalat" w:hAnsi="GHEA Grapalat" w:cs="Arial"/>
                <w:sz w:val="20"/>
                <w:szCs w:val="20"/>
                <w:lang w:val="hy-AM"/>
              </w:rPr>
              <w:t>։</w:t>
            </w:r>
          </w:p>
        </w:tc>
        <w:tc>
          <w:tcPr>
            <w:tcW w:w="1332" w:type="dxa"/>
          </w:tcPr>
          <w:p w14:paraId="2A8691F5" w14:textId="77777777" w:rsidR="00C25CE0" w:rsidRPr="004752D5" w:rsidRDefault="00C25CE0" w:rsidP="00C25CE0">
            <w:pPr>
              <w:autoSpaceDE w:val="0"/>
              <w:autoSpaceDN w:val="0"/>
              <w:adjustRightInd w:val="0"/>
              <w:ind w:right="-90"/>
              <w:jc w:val="left"/>
              <w:rPr>
                <w:rFonts w:ascii="GHEA Grapalat" w:hAnsi="GHEA Grapalat" w:cs="Arial"/>
                <w:sz w:val="20"/>
                <w:szCs w:val="20"/>
                <w:lang w:val="hy-AM"/>
              </w:rPr>
            </w:pPr>
          </w:p>
        </w:tc>
      </w:tr>
      <w:tr w:rsidR="00C25CE0" w:rsidRPr="002A06F1" w14:paraId="004E38A0" w14:textId="77777777" w:rsidTr="009027C9">
        <w:tc>
          <w:tcPr>
            <w:tcW w:w="648" w:type="dxa"/>
          </w:tcPr>
          <w:p w14:paraId="330EEB01" w14:textId="77777777" w:rsidR="00C25CE0" w:rsidRPr="004752D5" w:rsidRDefault="00C25CE0" w:rsidP="00C25CE0">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98</w:t>
            </w:r>
            <w:r w:rsidRPr="004752D5">
              <w:rPr>
                <w:rFonts w:ascii="MS Mincho" w:eastAsia="MS Mincho" w:hAnsi="MS Mincho" w:cs="MS Mincho" w:hint="eastAsia"/>
                <w:sz w:val="20"/>
                <w:szCs w:val="20"/>
                <w:lang w:val="hy-AM"/>
              </w:rPr>
              <w:t>․</w:t>
            </w:r>
          </w:p>
          <w:p w14:paraId="439C7522" w14:textId="18774E4B" w:rsidR="00C25CE0" w:rsidRPr="004752D5" w:rsidRDefault="00C25CE0" w:rsidP="00C25CE0">
            <w:pPr>
              <w:autoSpaceDE w:val="0"/>
              <w:autoSpaceDN w:val="0"/>
              <w:adjustRightInd w:val="0"/>
              <w:ind w:right="-90"/>
              <w:jc w:val="left"/>
              <w:rPr>
                <w:rFonts w:ascii="GHEA Grapalat" w:hAnsi="GHEA Grapalat" w:cs="Arial"/>
                <w:sz w:val="20"/>
                <w:szCs w:val="20"/>
                <w:lang w:val="hy-AM"/>
              </w:rPr>
            </w:pPr>
            <w:r w:rsidRPr="00095FFE">
              <w:rPr>
                <w:rFonts w:ascii="GHEA Grapalat" w:hAnsi="GHEA Grapalat" w:cs="Arial"/>
                <w:sz w:val="20"/>
                <w:szCs w:val="20"/>
                <w:lang w:val="hy-AM"/>
              </w:rPr>
              <w:t>/նախկին</w:t>
            </w:r>
            <w:r>
              <w:rPr>
                <w:rFonts w:ascii="GHEA Grapalat" w:hAnsi="GHEA Grapalat" w:cs="Arial"/>
                <w:sz w:val="20"/>
                <w:szCs w:val="20"/>
                <w:lang w:val="hy-AM"/>
              </w:rPr>
              <w:t>՝</w:t>
            </w:r>
            <w:r w:rsidRPr="00095FFE">
              <w:rPr>
                <w:rFonts w:ascii="GHEA Grapalat" w:hAnsi="GHEA Grapalat" w:cs="Arial"/>
                <w:sz w:val="20"/>
                <w:szCs w:val="20"/>
                <w:lang w:val="hy-AM"/>
              </w:rPr>
              <w:t xml:space="preserve"> 9</w:t>
            </w:r>
            <w:r>
              <w:rPr>
                <w:rFonts w:ascii="GHEA Grapalat" w:hAnsi="GHEA Grapalat" w:cs="Arial"/>
                <w:sz w:val="20"/>
                <w:szCs w:val="20"/>
                <w:lang w:val="hy-AM"/>
              </w:rPr>
              <w:t>9</w:t>
            </w:r>
            <w:r w:rsidRPr="004752D5">
              <w:rPr>
                <w:rFonts w:ascii="GHEA Grapalat" w:hAnsi="GHEA Grapalat" w:cs="Arial"/>
                <w:sz w:val="20"/>
                <w:szCs w:val="20"/>
                <w:lang w:val="hy-AM"/>
              </w:rPr>
              <w:t>/</w:t>
            </w:r>
          </w:p>
        </w:tc>
        <w:tc>
          <w:tcPr>
            <w:tcW w:w="2952" w:type="dxa"/>
          </w:tcPr>
          <w:p w14:paraId="11226FC2" w14:textId="77777777" w:rsidR="00C25CE0" w:rsidRPr="004752D5" w:rsidRDefault="00C25CE0" w:rsidP="00C25CE0">
            <w:pPr>
              <w:pStyle w:val="a4"/>
              <w:autoSpaceDE w:val="0"/>
              <w:autoSpaceDN w:val="0"/>
              <w:adjustRightInd w:val="0"/>
              <w:ind w:right="-90"/>
              <w:rPr>
                <w:rFonts w:ascii="GHEA Grapalat" w:eastAsiaTheme="minorHAnsi" w:hAnsi="GHEA Grapalat" w:cs="Arial"/>
                <w:sz w:val="20"/>
                <w:szCs w:val="20"/>
              </w:rPr>
            </w:pPr>
            <w:r w:rsidRPr="004752D5">
              <w:rPr>
                <w:rFonts w:ascii="GHEA Grapalat" w:eastAsiaTheme="minorHAnsi" w:hAnsi="GHEA Grapalat" w:cs="Arial"/>
                <w:sz w:val="20"/>
                <w:szCs w:val="20"/>
              </w:rPr>
              <w:t>Պետական համակարգի մարմինների և պետական կազմակերպությունների կողմից  Հայաստանի Հանրապետության պետական բյուջեի միջոցների հաշվին օգտագործվող ոչ պետական սեփականություն համարվող տարածքները պետական սեփականություն համարվող տարածքներով փոխարինումը</w:t>
            </w:r>
          </w:p>
          <w:p w14:paraId="5DCEB7DB" w14:textId="77777777" w:rsidR="00C25CE0" w:rsidRPr="004752D5" w:rsidRDefault="00C25CE0" w:rsidP="00C25CE0">
            <w:pPr>
              <w:pStyle w:val="a4"/>
              <w:autoSpaceDE w:val="0"/>
              <w:autoSpaceDN w:val="0"/>
              <w:adjustRightInd w:val="0"/>
              <w:ind w:right="-90"/>
              <w:rPr>
                <w:rFonts w:ascii="GHEA Grapalat" w:eastAsiaTheme="minorHAnsi" w:hAnsi="GHEA Grapalat" w:cs="Arial"/>
                <w:sz w:val="20"/>
                <w:szCs w:val="20"/>
              </w:rPr>
            </w:pPr>
          </w:p>
          <w:p w14:paraId="0F332C18" w14:textId="77777777" w:rsidR="00C25CE0" w:rsidRPr="004752D5" w:rsidRDefault="00C25CE0" w:rsidP="00C25CE0">
            <w:pPr>
              <w:pStyle w:val="a4"/>
              <w:autoSpaceDE w:val="0"/>
              <w:autoSpaceDN w:val="0"/>
              <w:adjustRightInd w:val="0"/>
              <w:ind w:right="-90"/>
              <w:rPr>
                <w:rFonts w:ascii="GHEA Grapalat" w:eastAsiaTheme="minorHAnsi" w:hAnsi="GHEA Grapalat" w:cs="Arial"/>
                <w:sz w:val="20"/>
                <w:szCs w:val="20"/>
              </w:rPr>
            </w:pPr>
          </w:p>
          <w:p w14:paraId="7BC6E71A" w14:textId="64AF8652" w:rsidR="00C25CE0" w:rsidRPr="004752D5" w:rsidRDefault="00C25CE0" w:rsidP="00C25CE0">
            <w:pPr>
              <w:pStyle w:val="a4"/>
              <w:autoSpaceDE w:val="0"/>
              <w:autoSpaceDN w:val="0"/>
              <w:adjustRightInd w:val="0"/>
              <w:ind w:right="-90"/>
              <w:rPr>
                <w:rFonts w:ascii="GHEA Grapalat" w:eastAsiaTheme="minorHAnsi" w:hAnsi="GHEA Grapalat" w:cs="Arial"/>
                <w:sz w:val="20"/>
                <w:szCs w:val="20"/>
              </w:rPr>
            </w:pPr>
          </w:p>
        </w:tc>
        <w:tc>
          <w:tcPr>
            <w:tcW w:w="3420" w:type="dxa"/>
          </w:tcPr>
          <w:p w14:paraId="1E653DC6" w14:textId="77777777" w:rsidR="00C25CE0" w:rsidRPr="004752D5" w:rsidRDefault="00C25CE0" w:rsidP="00C25CE0">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98.1 «Պետական կարիքների համար վարձակալած ոչ պետական տարածքները պետական տարածքներով փոխարինելու մասին» Հայաստանի Հանրապետության Վարչապետի որոշման նախագծի ներկայացում ՀՀ Վարչապետի աշխատակազմ</w:t>
            </w:r>
          </w:p>
          <w:p w14:paraId="486ED283" w14:textId="77777777" w:rsidR="00C25CE0" w:rsidRPr="004752D5" w:rsidRDefault="00C25CE0" w:rsidP="00C25CE0">
            <w:pPr>
              <w:autoSpaceDE w:val="0"/>
              <w:autoSpaceDN w:val="0"/>
              <w:adjustRightInd w:val="0"/>
              <w:ind w:right="-90"/>
              <w:jc w:val="left"/>
              <w:rPr>
                <w:rFonts w:ascii="GHEA Grapalat" w:hAnsi="GHEA Grapalat" w:cs="Arial"/>
                <w:sz w:val="20"/>
                <w:szCs w:val="20"/>
                <w:lang w:val="hy-AM"/>
              </w:rPr>
            </w:pPr>
          </w:p>
          <w:p w14:paraId="189CC87C" w14:textId="5E8ECFD8" w:rsidR="00C25CE0" w:rsidRPr="004752D5" w:rsidRDefault="00C25CE0" w:rsidP="00C25CE0">
            <w:pPr>
              <w:autoSpaceDE w:val="0"/>
              <w:autoSpaceDN w:val="0"/>
              <w:adjustRightInd w:val="0"/>
              <w:ind w:right="-90"/>
              <w:jc w:val="left"/>
              <w:rPr>
                <w:rFonts w:ascii="GHEA Grapalat" w:hAnsi="GHEA Grapalat" w:cs="Arial"/>
                <w:sz w:val="20"/>
                <w:szCs w:val="20"/>
                <w:lang w:val="hy-AM"/>
              </w:rPr>
            </w:pPr>
          </w:p>
        </w:tc>
        <w:tc>
          <w:tcPr>
            <w:tcW w:w="4500" w:type="dxa"/>
          </w:tcPr>
          <w:p w14:paraId="0B6971DD" w14:textId="2221FD00" w:rsidR="00C25CE0" w:rsidRPr="004752D5" w:rsidRDefault="00C25CE0" w:rsidP="00C25CE0">
            <w:pPr>
              <w:autoSpaceDE w:val="0"/>
              <w:autoSpaceDN w:val="0"/>
              <w:adjustRightInd w:val="0"/>
              <w:ind w:right="-15"/>
              <w:rPr>
                <w:rFonts w:ascii="GHEA Grapalat" w:hAnsi="GHEA Grapalat" w:cs="Arial"/>
                <w:sz w:val="20"/>
                <w:szCs w:val="20"/>
                <w:lang w:val="hy-AM"/>
              </w:rPr>
            </w:pPr>
            <w:r w:rsidRPr="004752D5">
              <w:rPr>
                <w:rFonts w:ascii="GHEA Grapalat" w:hAnsi="GHEA Grapalat" w:cs="Arial"/>
                <w:sz w:val="20"/>
                <w:szCs w:val="20"/>
                <w:lang w:val="hy-AM"/>
              </w:rPr>
              <w:t>Կոմիտեն մշակել և ՀՀ կառավարության կողմից 2022 թվականի  դեկտեմբերի 22-ին ընդունվել է «Պետական</w:t>
            </w:r>
            <w:r w:rsidRPr="004752D5">
              <w:rPr>
                <w:rFonts w:ascii="Calibri" w:hAnsi="Calibri" w:cs="Calibri"/>
                <w:sz w:val="20"/>
                <w:szCs w:val="20"/>
                <w:lang w:val="hy-AM"/>
              </w:rPr>
              <w:t> </w:t>
            </w:r>
            <w:r w:rsidRPr="004752D5">
              <w:rPr>
                <w:rFonts w:ascii="GHEA Grapalat" w:hAnsi="GHEA Grapalat" w:cs="Arial"/>
                <w:sz w:val="20"/>
                <w:szCs w:val="20"/>
                <w:lang w:val="hy-AM"/>
              </w:rPr>
              <w:t>կառավարման</w:t>
            </w:r>
            <w:r w:rsidRPr="004752D5">
              <w:rPr>
                <w:rFonts w:ascii="Calibri" w:hAnsi="Calibri" w:cs="Calibri"/>
                <w:sz w:val="20"/>
                <w:szCs w:val="20"/>
                <w:lang w:val="hy-AM"/>
              </w:rPr>
              <w:t> </w:t>
            </w:r>
            <w:r w:rsidRPr="004752D5">
              <w:rPr>
                <w:rFonts w:ascii="GHEA Grapalat" w:hAnsi="GHEA Grapalat" w:cs="Arial"/>
                <w:sz w:val="20"/>
                <w:szCs w:val="20"/>
                <w:lang w:val="hy-AM"/>
              </w:rPr>
              <w:t>համակարգի մարմինների և</w:t>
            </w:r>
            <w:r w:rsidRPr="004752D5">
              <w:rPr>
                <w:rFonts w:ascii="Calibri" w:hAnsi="Calibri" w:cs="Calibri"/>
                <w:sz w:val="20"/>
                <w:szCs w:val="20"/>
                <w:lang w:val="hy-AM"/>
              </w:rPr>
              <w:t> </w:t>
            </w:r>
            <w:r w:rsidRPr="004752D5">
              <w:rPr>
                <w:rFonts w:ascii="GHEA Grapalat" w:hAnsi="GHEA Grapalat" w:cs="Arial"/>
                <w:sz w:val="20"/>
                <w:szCs w:val="20"/>
                <w:lang w:val="hy-AM"/>
              </w:rPr>
              <w:t>պետական</w:t>
            </w:r>
            <w:r w:rsidRPr="004752D5">
              <w:rPr>
                <w:rFonts w:ascii="Calibri" w:hAnsi="Calibri" w:cs="Calibri"/>
                <w:sz w:val="20"/>
                <w:szCs w:val="20"/>
                <w:lang w:val="hy-AM"/>
              </w:rPr>
              <w:t> </w:t>
            </w:r>
            <w:r w:rsidRPr="004752D5">
              <w:rPr>
                <w:rFonts w:ascii="GHEA Grapalat" w:hAnsi="GHEA Grapalat" w:cs="Arial"/>
                <w:sz w:val="20"/>
                <w:szCs w:val="20"/>
                <w:lang w:val="hy-AM"/>
              </w:rPr>
              <w:t>ոչ առևտրային կազմակերպությունների գործառույթների իրականացման համար պետական սեփականություն հանդիսացող տարածքով ապահովելու կամ դրա բացակայության դեպքում Հայաստանի Հանրապետության</w:t>
            </w:r>
            <w:r w:rsidRPr="004752D5">
              <w:rPr>
                <w:rFonts w:ascii="Calibri" w:hAnsi="Calibri" w:cs="Calibri"/>
                <w:sz w:val="20"/>
                <w:szCs w:val="20"/>
                <w:lang w:val="hy-AM"/>
              </w:rPr>
              <w:t> </w:t>
            </w:r>
            <w:r w:rsidRPr="004752D5">
              <w:rPr>
                <w:rFonts w:ascii="GHEA Grapalat" w:hAnsi="GHEA Grapalat" w:cs="Arial"/>
                <w:sz w:val="20"/>
                <w:szCs w:val="20"/>
                <w:lang w:val="hy-AM"/>
              </w:rPr>
              <w:t>պետական բյուջեի միջոցների հաշվին ոչ</w:t>
            </w:r>
            <w:r w:rsidRPr="004752D5">
              <w:rPr>
                <w:rFonts w:ascii="Calibri" w:hAnsi="Calibri" w:cs="Calibri"/>
                <w:sz w:val="20"/>
                <w:szCs w:val="20"/>
                <w:lang w:val="hy-AM"/>
              </w:rPr>
              <w:t> </w:t>
            </w:r>
            <w:r w:rsidRPr="004752D5">
              <w:rPr>
                <w:rFonts w:ascii="GHEA Grapalat" w:hAnsi="GHEA Grapalat" w:cs="Arial"/>
                <w:sz w:val="20"/>
                <w:szCs w:val="20"/>
                <w:lang w:val="hy-AM"/>
              </w:rPr>
              <w:t>պետական սեփականություն համարվող տարածքները վարձակալությամբ ձեռքբերման կարգը հաստատելու մասին» N 2057-Ն որոշումը: Գործընթացը կրում է շարունակական բնույթ։</w:t>
            </w:r>
          </w:p>
          <w:p w14:paraId="64E396DE" w14:textId="431EF680" w:rsidR="00C25CE0" w:rsidRPr="004752D5" w:rsidRDefault="00C25CE0" w:rsidP="00C25CE0">
            <w:pPr>
              <w:tabs>
                <w:tab w:val="left" w:pos="9540"/>
                <w:tab w:val="left" w:pos="9810"/>
              </w:tabs>
              <w:autoSpaceDE w:val="0"/>
              <w:autoSpaceDN w:val="0"/>
              <w:adjustRightInd w:val="0"/>
              <w:ind w:right="-15"/>
              <w:rPr>
                <w:rFonts w:ascii="GHEA Grapalat" w:hAnsi="GHEA Grapalat" w:cs="Arial"/>
                <w:sz w:val="20"/>
                <w:szCs w:val="20"/>
                <w:lang w:val="hy-AM"/>
              </w:rPr>
            </w:pPr>
            <w:r w:rsidRPr="004752D5">
              <w:rPr>
                <w:rFonts w:ascii="GHEA Grapalat" w:hAnsi="GHEA Grapalat" w:cs="Arial"/>
                <w:sz w:val="20"/>
                <w:szCs w:val="20"/>
                <w:lang w:val="hy-AM"/>
              </w:rPr>
              <w:t xml:space="preserve">Պետական կարիքների համար վարձակալած ոչ պետական տարածքները պետական տարածքներով փոխարինելու նպատակով 2024 թվականին շրջանառության մեջ իրավական ակտերի նախագծեր չեն նախապատրաստվել։ </w:t>
            </w:r>
          </w:p>
        </w:tc>
        <w:tc>
          <w:tcPr>
            <w:tcW w:w="2610" w:type="dxa"/>
          </w:tcPr>
          <w:p w14:paraId="7E2D6113" w14:textId="0A7B8C33" w:rsidR="00C25CE0" w:rsidRPr="004752D5" w:rsidRDefault="00AF41DB" w:rsidP="00C25CE0">
            <w:pPr>
              <w:autoSpaceDE w:val="0"/>
              <w:autoSpaceDN w:val="0"/>
              <w:adjustRightInd w:val="0"/>
              <w:ind w:right="-90"/>
              <w:jc w:val="left"/>
              <w:rPr>
                <w:rFonts w:ascii="GHEA Grapalat" w:hAnsi="GHEA Grapalat" w:cs="Arial"/>
                <w:sz w:val="20"/>
                <w:szCs w:val="20"/>
                <w:lang w:val="hy-AM"/>
              </w:rPr>
            </w:pPr>
            <w:r>
              <w:rPr>
                <w:rFonts w:ascii="GHEA Grapalat" w:hAnsi="GHEA Grapalat" w:cs="Arial"/>
                <w:sz w:val="20"/>
                <w:szCs w:val="20"/>
                <w:lang w:val="hy-AM"/>
              </w:rPr>
              <w:t>Մ</w:t>
            </w:r>
            <w:r w:rsidR="00C25CE0" w:rsidRPr="004752D5">
              <w:rPr>
                <w:rFonts w:ascii="GHEA Grapalat" w:hAnsi="GHEA Grapalat" w:cs="Arial"/>
                <w:sz w:val="20"/>
                <w:szCs w:val="20"/>
                <w:lang w:val="hy-AM"/>
              </w:rPr>
              <w:t>ինչև 2024 թվականի նոյեմբերի 1-ին տասնօրյակ</w:t>
            </w:r>
            <w:r>
              <w:rPr>
                <w:rFonts w:ascii="GHEA Grapalat" w:hAnsi="GHEA Grapalat" w:cs="Arial"/>
                <w:sz w:val="20"/>
                <w:szCs w:val="20"/>
                <w:lang w:val="hy-AM"/>
              </w:rPr>
              <w:t>։</w:t>
            </w:r>
          </w:p>
          <w:p w14:paraId="0A1FAC87" w14:textId="33ED0C4E" w:rsidR="00C25CE0" w:rsidRPr="004752D5" w:rsidRDefault="00C25CE0" w:rsidP="00C25CE0">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Կրում է շարունակական բնույթ։</w:t>
            </w:r>
          </w:p>
        </w:tc>
        <w:tc>
          <w:tcPr>
            <w:tcW w:w="1332" w:type="dxa"/>
          </w:tcPr>
          <w:p w14:paraId="7C2A5D67" w14:textId="77777777" w:rsidR="00C25CE0" w:rsidRPr="004752D5" w:rsidRDefault="00C25CE0" w:rsidP="00C25CE0">
            <w:pPr>
              <w:autoSpaceDE w:val="0"/>
              <w:autoSpaceDN w:val="0"/>
              <w:adjustRightInd w:val="0"/>
              <w:ind w:right="-90"/>
              <w:jc w:val="left"/>
              <w:rPr>
                <w:rFonts w:ascii="GHEA Grapalat" w:hAnsi="GHEA Grapalat" w:cs="Arial"/>
                <w:sz w:val="20"/>
                <w:szCs w:val="20"/>
                <w:lang w:val="hy-AM"/>
              </w:rPr>
            </w:pPr>
          </w:p>
        </w:tc>
      </w:tr>
      <w:tr w:rsidR="00C25CE0" w:rsidRPr="00D8648A" w14:paraId="4643E199" w14:textId="77777777" w:rsidTr="009027C9">
        <w:tc>
          <w:tcPr>
            <w:tcW w:w="648" w:type="dxa"/>
          </w:tcPr>
          <w:p w14:paraId="75B43D76" w14:textId="77777777" w:rsidR="00C25CE0" w:rsidRPr="004752D5" w:rsidRDefault="00C25CE0" w:rsidP="00C25CE0">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99</w:t>
            </w:r>
            <w:r w:rsidRPr="004752D5">
              <w:rPr>
                <w:rFonts w:ascii="MS Mincho" w:eastAsia="MS Mincho" w:hAnsi="MS Mincho" w:cs="MS Mincho" w:hint="eastAsia"/>
                <w:sz w:val="20"/>
                <w:szCs w:val="20"/>
                <w:lang w:val="hy-AM"/>
              </w:rPr>
              <w:t>․</w:t>
            </w:r>
          </w:p>
          <w:p w14:paraId="53DEFD82" w14:textId="1ABC8CFB" w:rsidR="00C25CE0" w:rsidRPr="004752D5" w:rsidRDefault="00C25CE0" w:rsidP="00C25CE0">
            <w:pPr>
              <w:autoSpaceDE w:val="0"/>
              <w:autoSpaceDN w:val="0"/>
              <w:adjustRightInd w:val="0"/>
              <w:ind w:right="-90"/>
              <w:jc w:val="left"/>
              <w:rPr>
                <w:rFonts w:ascii="GHEA Grapalat" w:hAnsi="GHEA Grapalat" w:cs="Arial"/>
                <w:sz w:val="20"/>
                <w:szCs w:val="20"/>
                <w:lang w:val="hy-AM"/>
              </w:rPr>
            </w:pPr>
            <w:r w:rsidRPr="00095FFE">
              <w:rPr>
                <w:rFonts w:ascii="GHEA Grapalat" w:hAnsi="GHEA Grapalat" w:cs="Arial"/>
                <w:sz w:val="20"/>
                <w:szCs w:val="20"/>
                <w:lang w:val="hy-AM"/>
              </w:rPr>
              <w:t>/նախկին</w:t>
            </w:r>
            <w:r>
              <w:rPr>
                <w:rFonts w:ascii="GHEA Grapalat" w:hAnsi="GHEA Grapalat" w:cs="Arial"/>
                <w:sz w:val="20"/>
                <w:szCs w:val="20"/>
                <w:lang w:val="hy-AM"/>
              </w:rPr>
              <w:t>՝</w:t>
            </w:r>
            <w:r w:rsidRPr="00095FFE">
              <w:rPr>
                <w:rFonts w:ascii="GHEA Grapalat" w:hAnsi="GHEA Grapalat" w:cs="Arial"/>
                <w:sz w:val="20"/>
                <w:szCs w:val="20"/>
                <w:lang w:val="hy-AM"/>
              </w:rPr>
              <w:t xml:space="preserve"> </w:t>
            </w:r>
            <w:r>
              <w:rPr>
                <w:rFonts w:ascii="GHEA Grapalat" w:hAnsi="GHEA Grapalat" w:cs="Arial"/>
                <w:sz w:val="20"/>
                <w:szCs w:val="20"/>
                <w:lang w:val="hy-AM"/>
              </w:rPr>
              <w:t>100</w:t>
            </w:r>
            <w:r w:rsidRPr="004752D5">
              <w:rPr>
                <w:rFonts w:ascii="GHEA Grapalat" w:hAnsi="GHEA Grapalat" w:cs="Arial"/>
                <w:sz w:val="20"/>
                <w:szCs w:val="20"/>
                <w:lang w:val="hy-AM"/>
              </w:rPr>
              <w:t>/</w:t>
            </w:r>
          </w:p>
        </w:tc>
        <w:tc>
          <w:tcPr>
            <w:tcW w:w="2952" w:type="dxa"/>
          </w:tcPr>
          <w:p w14:paraId="2CB04496" w14:textId="77777777" w:rsidR="00C25CE0" w:rsidRPr="004752D5" w:rsidRDefault="00C25CE0" w:rsidP="00C25CE0">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Պետության գործառույթների իրականացման համար անհրաժեշտ և օտարման ոչ ենթակա պետական գույքի կազմի և կառուցվածքի սահմանում</w:t>
            </w:r>
          </w:p>
        </w:tc>
        <w:tc>
          <w:tcPr>
            <w:tcW w:w="3420" w:type="dxa"/>
          </w:tcPr>
          <w:p w14:paraId="014406FD" w14:textId="51AA36E6" w:rsidR="00C25CE0" w:rsidRPr="004752D5" w:rsidRDefault="00C25CE0" w:rsidP="00C25CE0">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 xml:space="preserve">99.1 Պետության գործառույթների իրականացման համար անհրաժեշտ գույքի կազմը սահմանելու նպատակով Կոմիտեի նախաձեռնությամբ պետական մարմինների մասնակցությամբ ու առաջարկությունների, ինչպես նաև </w:t>
            </w:r>
            <w:r w:rsidRPr="004752D5">
              <w:rPr>
                <w:rFonts w:ascii="GHEA Grapalat" w:hAnsi="GHEA Grapalat" w:cs="Arial"/>
                <w:sz w:val="20"/>
                <w:szCs w:val="20"/>
                <w:lang w:val="hy-AM"/>
              </w:rPr>
              <w:lastRenderedPageBreak/>
              <w:t xml:space="preserve">իրականացվող մշտադիտարկման արդյունքների հիման վրա պետական մարմինների գործառույթների իրականացման համար անհրաժեշտ անշարժ գույքի նկատմամբ պահանջների սահմանում և  օտարման ոչ ենթակա գույքի կազմի և մակերեսի առանձնացում: Նշված տեղեկատվության հիման վրա համապատասխան փոփոխությունների կատարում Հայաստանի Հանրապետության կառավարության 2021թվականի ապրիլի 1-ի N 458-L որոշմամբ հաստատված պետական գույքի կառավարման 2021-2023 թվականների ծրագրում </w:t>
            </w:r>
          </w:p>
        </w:tc>
        <w:tc>
          <w:tcPr>
            <w:tcW w:w="4500" w:type="dxa"/>
          </w:tcPr>
          <w:p w14:paraId="775D48A5" w14:textId="6933F646" w:rsidR="00C25CE0" w:rsidRPr="004752D5" w:rsidRDefault="00C25CE0" w:rsidP="00C25CE0">
            <w:pPr>
              <w:autoSpaceDE w:val="0"/>
              <w:autoSpaceDN w:val="0"/>
              <w:adjustRightInd w:val="0"/>
              <w:ind w:right="-15"/>
              <w:rPr>
                <w:rFonts w:ascii="GHEA Grapalat" w:hAnsi="GHEA Grapalat" w:cs="Arial"/>
                <w:sz w:val="20"/>
                <w:szCs w:val="20"/>
                <w:lang w:val="hy-AM"/>
              </w:rPr>
            </w:pPr>
            <w:r w:rsidRPr="004752D5">
              <w:rPr>
                <w:rFonts w:ascii="GHEA Grapalat" w:hAnsi="GHEA Grapalat" w:cs="Arial"/>
                <w:sz w:val="20"/>
                <w:szCs w:val="20"/>
                <w:lang w:val="hy-AM"/>
              </w:rPr>
              <w:lastRenderedPageBreak/>
              <w:t>Պետության գործառույթների իրականացման համար անհրաժեշտ գույքի կազմը սահմանելու նպատակով՝ Կոմիտեն պետական մարմիններ</w:t>
            </w:r>
            <w:r>
              <w:rPr>
                <w:rFonts w:ascii="GHEA Grapalat" w:hAnsi="GHEA Grapalat" w:cs="Arial"/>
                <w:sz w:val="20"/>
                <w:szCs w:val="20"/>
                <w:lang w:val="hy-AM"/>
              </w:rPr>
              <w:t>ից</w:t>
            </w:r>
            <w:r w:rsidRPr="004752D5">
              <w:rPr>
                <w:rFonts w:ascii="GHEA Grapalat" w:hAnsi="GHEA Grapalat" w:cs="Arial"/>
                <w:sz w:val="20"/>
                <w:szCs w:val="20"/>
                <w:lang w:val="hy-AM"/>
              </w:rPr>
              <w:t>՝ նախարարություններ</w:t>
            </w:r>
            <w:r>
              <w:rPr>
                <w:rFonts w:ascii="GHEA Grapalat" w:hAnsi="GHEA Grapalat" w:cs="Arial"/>
                <w:sz w:val="20"/>
                <w:szCs w:val="20"/>
                <w:lang w:val="hy-AM"/>
              </w:rPr>
              <w:t>ից</w:t>
            </w:r>
            <w:r w:rsidRPr="004752D5">
              <w:rPr>
                <w:rFonts w:ascii="GHEA Grapalat" w:hAnsi="GHEA Grapalat" w:cs="Arial"/>
                <w:sz w:val="20"/>
                <w:szCs w:val="20"/>
                <w:lang w:val="hy-AM"/>
              </w:rPr>
              <w:t xml:space="preserve">, Կառավարության ենթակա մարմիններից ստացված տեղեկատվությունն ամփոփել է: Արդյունքում ՀՀ կառավարության 01.04.2021 N </w:t>
            </w:r>
            <w:r w:rsidRPr="004752D5">
              <w:rPr>
                <w:rFonts w:ascii="GHEA Grapalat" w:hAnsi="GHEA Grapalat" w:cs="Arial"/>
                <w:sz w:val="20"/>
                <w:szCs w:val="20"/>
                <w:lang w:val="hy-AM"/>
              </w:rPr>
              <w:lastRenderedPageBreak/>
              <w:t xml:space="preserve">458-L որոշմամբ հաստատված պետական գույքի կառավարման 2021-2023 թվականների ծրագրում ՀՀ կառավարության 22.06.2023թ. N 1036-L որոշմամբ կատարվել </w:t>
            </w:r>
            <w:r>
              <w:rPr>
                <w:rFonts w:ascii="GHEA Grapalat" w:hAnsi="GHEA Grapalat" w:cs="Arial"/>
                <w:sz w:val="20"/>
                <w:szCs w:val="20"/>
                <w:lang w:val="hy-AM"/>
              </w:rPr>
              <w:t>են</w:t>
            </w:r>
            <w:r w:rsidRPr="004752D5">
              <w:rPr>
                <w:rFonts w:ascii="GHEA Grapalat" w:hAnsi="GHEA Grapalat" w:cs="Arial"/>
                <w:sz w:val="20"/>
                <w:szCs w:val="20"/>
                <w:lang w:val="hy-AM"/>
              </w:rPr>
              <w:t xml:space="preserve"> լրացումներ և փոփոխություն, որի հիմքով մասնավորեցման ծրագրում չընդգրկված, օտարման առաջարկվող անշարժ գույքի ցանկն ավելացվել է թվով 136 գույքով: Նշված տեղեկատվությունը հիմք է ծառայել նաև պետական գույքի կառավարման 2024-2026 թվականների ծրագրի մշակման համար, որը 2024 թվականի փետրվարի 8-ին ՀՀ կառավարության կողմից ընդունվել է N 199-Լ որոշմամբ։</w:t>
            </w:r>
          </w:p>
          <w:p w14:paraId="2DDD6695" w14:textId="77777777" w:rsidR="00C25CE0" w:rsidRPr="004752D5" w:rsidRDefault="00C25CE0" w:rsidP="00C25CE0">
            <w:pPr>
              <w:autoSpaceDE w:val="0"/>
              <w:autoSpaceDN w:val="0"/>
              <w:adjustRightInd w:val="0"/>
              <w:ind w:right="-15"/>
              <w:jc w:val="left"/>
              <w:rPr>
                <w:rFonts w:ascii="GHEA Grapalat" w:hAnsi="GHEA Grapalat" w:cs="Arial"/>
                <w:sz w:val="20"/>
                <w:szCs w:val="20"/>
                <w:lang w:val="hy-AM"/>
              </w:rPr>
            </w:pPr>
          </w:p>
        </w:tc>
        <w:tc>
          <w:tcPr>
            <w:tcW w:w="2610" w:type="dxa"/>
          </w:tcPr>
          <w:p w14:paraId="01DBC231" w14:textId="77777777" w:rsidR="00C25CE0" w:rsidRDefault="00E34B10" w:rsidP="00C25CE0">
            <w:pPr>
              <w:autoSpaceDE w:val="0"/>
              <w:autoSpaceDN w:val="0"/>
              <w:adjustRightInd w:val="0"/>
              <w:ind w:right="-90"/>
              <w:jc w:val="left"/>
              <w:rPr>
                <w:rFonts w:ascii="GHEA Grapalat" w:hAnsi="GHEA Grapalat" w:cs="Arial"/>
                <w:sz w:val="20"/>
                <w:szCs w:val="20"/>
                <w:lang w:val="hy-AM"/>
              </w:rPr>
            </w:pPr>
            <w:r>
              <w:rPr>
                <w:rFonts w:ascii="GHEA Grapalat" w:hAnsi="GHEA Grapalat" w:cs="Arial"/>
                <w:sz w:val="20"/>
                <w:szCs w:val="20"/>
                <w:lang w:val="hy-AM"/>
              </w:rPr>
              <w:lastRenderedPageBreak/>
              <w:t>Մ</w:t>
            </w:r>
            <w:r w:rsidR="00C25CE0" w:rsidRPr="004752D5">
              <w:rPr>
                <w:rFonts w:ascii="GHEA Grapalat" w:hAnsi="GHEA Grapalat" w:cs="Arial"/>
                <w:sz w:val="20"/>
                <w:szCs w:val="20"/>
                <w:lang w:val="hy-AM"/>
              </w:rPr>
              <w:t>ինչև 2024 թվականի նոյեմբերի 1-ին տասնօրյակ</w:t>
            </w:r>
            <w:r>
              <w:rPr>
                <w:rFonts w:ascii="GHEA Grapalat" w:hAnsi="GHEA Grapalat" w:cs="Arial"/>
                <w:sz w:val="20"/>
                <w:szCs w:val="20"/>
                <w:lang w:val="hy-AM"/>
              </w:rPr>
              <w:t>։</w:t>
            </w:r>
          </w:p>
          <w:p w14:paraId="21B5351D" w14:textId="78B49B65" w:rsidR="00E34B10" w:rsidRPr="004752D5" w:rsidRDefault="00E34B10" w:rsidP="00C25CE0">
            <w:pPr>
              <w:autoSpaceDE w:val="0"/>
              <w:autoSpaceDN w:val="0"/>
              <w:adjustRightInd w:val="0"/>
              <w:ind w:right="-90"/>
              <w:jc w:val="left"/>
              <w:rPr>
                <w:rFonts w:ascii="GHEA Grapalat" w:hAnsi="GHEA Grapalat" w:cs="Arial"/>
                <w:sz w:val="20"/>
                <w:szCs w:val="20"/>
                <w:lang w:val="hy-AM"/>
              </w:rPr>
            </w:pPr>
            <w:r>
              <w:rPr>
                <w:rFonts w:ascii="GHEA Grapalat" w:hAnsi="GHEA Grapalat" w:cs="Arial"/>
                <w:sz w:val="20"/>
                <w:szCs w:val="20"/>
                <w:lang w:val="hy-AM"/>
              </w:rPr>
              <w:t>Կատարվել է սահմանված ժամկետում</w:t>
            </w:r>
            <w:r w:rsidR="002F770C">
              <w:rPr>
                <w:rFonts w:ascii="GHEA Grapalat" w:hAnsi="GHEA Grapalat" w:cs="Arial"/>
                <w:sz w:val="20"/>
                <w:szCs w:val="20"/>
                <w:lang w:val="hy-AM"/>
              </w:rPr>
              <w:t>։</w:t>
            </w:r>
          </w:p>
        </w:tc>
        <w:tc>
          <w:tcPr>
            <w:tcW w:w="1332" w:type="dxa"/>
          </w:tcPr>
          <w:p w14:paraId="3FC36699" w14:textId="77777777" w:rsidR="00C25CE0" w:rsidRPr="004752D5" w:rsidRDefault="00C25CE0" w:rsidP="00C25CE0">
            <w:pPr>
              <w:autoSpaceDE w:val="0"/>
              <w:autoSpaceDN w:val="0"/>
              <w:adjustRightInd w:val="0"/>
              <w:ind w:right="-90"/>
              <w:jc w:val="left"/>
              <w:rPr>
                <w:rFonts w:ascii="GHEA Grapalat" w:hAnsi="GHEA Grapalat" w:cs="Arial"/>
                <w:sz w:val="20"/>
                <w:szCs w:val="20"/>
                <w:lang w:val="hy-AM"/>
              </w:rPr>
            </w:pPr>
          </w:p>
        </w:tc>
      </w:tr>
      <w:tr w:rsidR="00C25CE0" w:rsidRPr="000640AE" w14:paraId="35375678" w14:textId="77777777" w:rsidTr="009027C9">
        <w:tc>
          <w:tcPr>
            <w:tcW w:w="648" w:type="dxa"/>
          </w:tcPr>
          <w:p w14:paraId="62B075B2" w14:textId="77777777" w:rsidR="00C25CE0" w:rsidRPr="004752D5" w:rsidRDefault="00C25CE0" w:rsidP="00C25CE0">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100</w:t>
            </w:r>
            <w:r w:rsidRPr="004752D5">
              <w:rPr>
                <w:rFonts w:ascii="GHEA Grapalat" w:hAnsi="GHEA Grapalat" w:cs="Arial" w:hint="eastAsia"/>
                <w:sz w:val="20"/>
                <w:szCs w:val="20"/>
                <w:lang w:val="hy-AM"/>
              </w:rPr>
              <w:t>․</w:t>
            </w:r>
          </w:p>
          <w:p w14:paraId="6F936591" w14:textId="26A01298" w:rsidR="00C25CE0" w:rsidRPr="004752D5" w:rsidRDefault="00C25CE0" w:rsidP="00C25CE0">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/նախկին՝ 101/</w:t>
            </w:r>
          </w:p>
        </w:tc>
        <w:tc>
          <w:tcPr>
            <w:tcW w:w="2952" w:type="dxa"/>
          </w:tcPr>
          <w:p w14:paraId="04AC64D7" w14:textId="2BE9E8E4" w:rsidR="00C25CE0" w:rsidRPr="004752D5" w:rsidRDefault="00C25CE0" w:rsidP="00C25CE0">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Բարենպաստ ներդրումային միջավայրի ձևավորման և ներդրումների ներգրավման, չօգտագործվող կամ ոչ արդյունավետ օգտագործվող՝ համեմատաբար բարձր իրացվելիություն ունեցող պետական անշարժ գույքի առանձնացում և վաճառքի կազմակերպման միջոցով սոցիալ-տնտեսական նշանակության ներդրումային խոշոր ծրագրերի իրականացում</w:t>
            </w:r>
          </w:p>
        </w:tc>
        <w:tc>
          <w:tcPr>
            <w:tcW w:w="3420" w:type="dxa"/>
          </w:tcPr>
          <w:p w14:paraId="64A534A4" w14:textId="15B7A220" w:rsidR="00C25CE0" w:rsidRPr="004752D5" w:rsidRDefault="00C25CE0" w:rsidP="00C25CE0">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100.1 Բարենպաստ ներդրումային միջավայր ստեղծելու և պետական գույքի արդյունավետությունը բարձրացնելու նպատակով 1 մլրդ ՀՀ դրամ և ավել գնահատված արժեքով և ներդրումային հետաքրքրություն ունեցող առնվազն տասը միավոր անշարժ գույքի վերաբերյալ համապատասխան փաստաթղթերի հավաքագրում և օտարման գործընթացի կազմակերպում:</w:t>
            </w:r>
          </w:p>
        </w:tc>
        <w:tc>
          <w:tcPr>
            <w:tcW w:w="4500" w:type="dxa"/>
          </w:tcPr>
          <w:p w14:paraId="79EAA75A" w14:textId="1A5338C6" w:rsidR="00C25CE0" w:rsidRPr="004752D5" w:rsidRDefault="00C25CE0" w:rsidP="00C25CE0">
            <w:pPr>
              <w:tabs>
                <w:tab w:val="left" w:pos="9540"/>
                <w:tab w:val="left" w:pos="9810"/>
              </w:tabs>
              <w:autoSpaceDE w:val="0"/>
              <w:autoSpaceDN w:val="0"/>
              <w:adjustRightInd w:val="0"/>
              <w:ind w:right="-15"/>
              <w:rPr>
                <w:rFonts w:ascii="GHEA Grapalat" w:hAnsi="GHEA Grapalat" w:cs="Arial"/>
                <w:sz w:val="20"/>
                <w:szCs w:val="20"/>
                <w:lang w:val="hy-AM"/>
              </w:rPr>
            </w:pPr>
            <w:r w:rsidRPr="004752D5">
              <w:rPr>
                <w:rFonts w:ascii="GHEA Grapalat" w:hAnsi="GHEA Grapalat" w:cs="Arial"/>
                <w:sz w:val="20"/>
                <w:szCs w:val="20"/>
                <w:lang w:val="hy-AM"/>
              </w:rPr>
              <w:t>Տվյալ կետով նախատեսված հանձնառության ապահովման համար իրականացվել է 101</w:t>
            </w:r>
            <w:r w:rsidRPr="004752D5">
              <w:rPr>
                <w:rFonts w:ascii="MS Mincho" w:eastAsia="MS Mincho" w:hAnsi="MS Mincho" w:cs="MS Mincho" w:hint="eastAsia"/>
                <w:sz w:val="20"/>
                <w:szCs w:val="20"/>
                <w:lang w:val="hy-AM"/>
              </w:rPr>
              <w:t>․</w:t>
            </w:r>
            <w:r w:rsidRPr="004752D5">
              <w:rPr>
                <w:rFonts w:ascii="GHEA Grapalat" w:hAnsi="GHEA Grapalat" w:cs="Arial"/>
                <w:sz w:val="20"/>
                <w:szCs w:val="20"/>
                <w:lang w:val="hy-AM"/>
              </w:rPr>
              <w:t>1</w:t>
            </w:r>
            <w:r w:rsidRPr="004752D5">
              <w:rPr>
                <w:rFonts w:ascii="MS Mincho" w:eastAsia="MS Mincho" w:hAnsi="MS Mincho" w:cs="MS Mincho" w:hint="eastAsia"/>
                <w:sz w:val="20"/>
                <w:szCs w:val="20"/>
                <w:lang w:val="hy-AM"/>
              </w:rPr>
              <w:t>․</w:t>
            </w:r>
            <w:r w:rsidRPr="004752D5">
              <w:rPr>
                <w:rFonts w:ascii="GHEA Grapalat" w:hAnsi="GHEA Grapalat" w:cs="Arial"/>
                <w:sz w:val="20"/>
                <w:szCs w:val="20"/>
                <w:lang w:val="hy-AM"/>
              </w:rPr>
              <w:t xml:space="preserve"> միջոցառումը, որի նպատակն է օտարման ճանապարհով գույքի ներգրավմամբ իրականացնել խոշոր ներդրումային ծրագրեր, ինչի արդյունքում կբարձրանա անշարժ գույքի հանրային օգտակարությունը և կապահովվեն ՀՀ պետական և համայնքային բյուջեների համար լրացուցիչ մուտքեր։ </w:t>
            </w:r>
          </w:p>
          <w:p w14:paraId="30E15BAF" w14:textId="064BA213" w:rsidR="00C25CE0" w:rsidRPr="004752D5" w:rsidRDefault="00C25CE0" w:rsidP="00C25CE0">
            <w:pPr>
              <w:tabs>
                <w:tab w:val="left" w:pos="9540"/>
                <w:tab w:val="left" w:pos="9810"/>
              </w:tabs>
              <w:autoSpaceDE w:val="0"/>
              <w:autoSpaceDN w:val="0"/>
              <w:adjustRightInd w:val="0"/>
              <w:ind w:right="-15"/>
              <w:rPr>
                <w:rFonts w:ascii="GHEA Grapalat" w:hAnsi="GHEA Grapalat" w:cs="Arial"/>
                <w:sz w:val="20"/>
                <w:szCs w:val="20"/>
                <w:lang w:val="hy-AM"/>
              </w:rPr>
            </w:pPr>
            <w:r w:rsidRPr="004752D5">
              <w:rPr>
                <w:rFonts w:ascii="GHEA Grapalat" w:hAnsi="GHEA Grapalat" w:cs="Arial"/>
                <w:sz w:val="20"/>
                <w:szCs w:val="20"/>
                <w:lang w:val="hy-AM"/>
              </w:rPr>
              <w:t xml:space="preserve">Ներդրումային ծրագրի իրականացման արդյունքում բացվել են լրացուցիչ աշխատատեղեր և հանրային ծառայությունների մատուցման համար ստեղծվել են լայն հնարավորություններ, մասնավորապես 2024 թվականին կնքված 15 օտարման պայմանագրերից 6 օտարման  պայմանագրերով գնորդները ստանձնել են 32 351 000 000 ՀՀ դրամի ներդրում։ </w:t>
            </w:r>
          </w:p>
        </w:tc>
        <w:tc>
          <w:tcPr>
            <w:tcW w:w="2610" w:type="dxa"/>
          </w:tcPr>
          <w:p w14:paraId="22743A9B" w14:textId="72BB02AD" w:rsidR="008C2D52" w:rsidRPr="008C2D52" w:rsidRDefault="008C2D52" w:rsidP="00C25CE0">
            <w:pPr>
              <w:autoSpaceDE w:val="0"/>
              <w:autoSpaceDN w:val="0"/>
              <w:adjustRightInd w:val="0"/>
              <w:ind w:right="-90"/>
              <w:jc w:val="left"/>
              <w:rPr>
                <w:rFonts w:ascii="GHEA Grapalat" w:hAnsi="GHEA Grapalat" w:cs="Arial"/>
                <w:sz w:val="20"/>
                <w:szCs w:val="20"/>
                <w:lang w:val="hy-AM"/>
              </w:rPr>
            </w:pPr>
            <w:r w:rsidRPr="008C2D52">
              <w:rPr>
                <w:rFonts w:ascii="GHEA Grapalat" w:hAnsi="GHEA Grapalat" w:cs="Arial"/>
                <w:sz w:val="20"/>
                <w:szCs w:val="20"/>
                <w:lang w:val="hy-AM"/>
              </w:rPr>
              <w:t>2022 թվականի դեկտեմբերի 3-րդ տասնօրյակ</w:t>
            </w:r>
            <w:r>
              <w:rPr>
                <w:rFonts w:ascii="GHEA Grapalat" w:hAnsi="GHEA Grapalat" w:cs="Arial"/>
                <w:sz w:val="20"/>
                <w:szCs w:val="20"/>
                <w:lang w:val="hy-AM"/>
              </w:rPr>
              <w:t>։</w:t>
            </w:r>
          </w:p>
          <w:p w14:paraId="508715D3" w14:textId="0E3DECDD" w:rsidR="00C25CE0" w:rsidRPr="004752D5" w:rsidRDefault="00C25CE0" w:rsidP="00C25CE0">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Կրում է շարունակական բնույթ</w:t>
            </w:r>
            <w:r w:rsidR="002F770C">
              <w:rPr>
                <w:rFonts w:ascii="GHEA Grapalat" w:hAnsi="GHEA Grapalat" w:cs="Arial"/>
                <w:sz w:val="20"/>
                <w:szCs w:val="20"/>
                <w:lang w:val="hy-AM"/>
              </w:rPr>
              <w:t>։</w:t>
            </w:r>
          </w:p>
        </w:tc>
        <w:tc>
          <w:tcPr>
            <w:tcW w:w="1332" w:type="dxa"/>
          </w:tcPr>
          <w:p w14:paraId="695D23E7" w14:textId="77777777" w:rsidR="00C25CE0" w:rsidRPr="004752D5" w:rsidRDefault="00C25CE0" w:rsidP="00C25CE0">
            <w:pPr>
              <w:autoSpaceDE w:val="0"/>
              <w:autoSpaceDN w:val="0"/>
              <w:adjustRightInd w:val="0"/>
              <w:ind w:right="-90"/>
              <w:jc w:val="left"/>
              <w:rPr>
                <w:rFonts w:ascii="GHEA Grapalat" w:hAnsi="GHEA Grapalat" w:cs="Arial"/>
                <w:sz w:val="20"/>
                <w:szCs w:val="20"/>
                <w:lang w:val="hy-AM"/>
              </w:rPr>
            </w:pPr>
          </w:p>
        </w:tc>
      </w:tr>
      <w:tr w:rsidR="00C25CE0" w:rsidRPr="00D8648A" w14:paraId="3F02E5EB" w14:textId="77777777" w:rsidTr="009027C9">
        <w:tc>
          <w:tcPr>
            <w:tcW w:w="648" w:type="dxa"/>
          </w:tcPr>
          <w:p w14:paraId="1769BE1C" w14:textId="2DF8E5FB" w:rsidR="00C25CE0" w:rsidRPr="004752D5" w:rsidRDefault="00C25CE0" w:rsidP="00C25CE0">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101</w:t>
            </w:r>
            <w:r w:rsidRPr="004752D5">
              <w:rPr>
                <w:rFonts w:ascii="MS Mincho" w:eastAsia="MS Mincho" w:hAnsi="MS Mincho" w:cs="MS Mincho" w:hint="eastAsia"/>
                <w:sz w:val="20"/>
                <w:szCs w:val="20"/>
                <w:lang w:val="hy-AM"/>
              </w:rPr>
              <w:t>․</w:t>
            </w:r>
          </w:p>
          <w:p w14:paraId="35327CDB" w14:textId="5190AAB4" w:rsidR="00C25CE0" w:rsidRPr="004752D5" w:rsidRDefault="00C25CE0" w:rsidP="00C25CE0">
            <w:pPr>
              <w:autoSpaceDE w:val="0"/>
              <w:autoSpaceDN w:val="0"/>
              <w:adjustRightInd w:val="0"/>
              <w:ind w:right="-90"/>
              <w:jc w:val="left"/>
              <w:rPr>
                <w:rFonts w:ascii="GHEA Grapalat" w:hAnsi="GHEA Grapalat" w:cs="Arial"/>
                <w:sz w:val="20"/>
                <w:szCs w:val="20"/>
                <w:lang w:val="hy-AM"/>
              </w:rPr>
            </w:pPr>
            <w:r w:rsidRPr="00095FFE">
              <w:rPr>
                <w:rFonts w:ascii="GHEA Grapalat" w:hAnsi="GHEA Grapalat" w:cs="Arial"/>
                <w:sz w:val="20"/>
                <w:szCs w:val="20"/>
                <w:lang w:val="hy-AM"/>
              </w:rPr>
              <w:t>/նախկին</w:t>
            </w:r>
            <w:r>
              <w:rPr>
                <w:rFonts w:ascii="GHEA Grapalat" w:hAnsi="GHEA Grapalat" w:cs="Arial"/>
                <w:sz w:val="20"/>
                <w:szCs w:val="20"/>
                <w:lang w:val="hy-AM"/>
              </w:rPr>
              <w:t>՝</w:t>
            </w:r>
            <w:r w:rsidRPr="00095FFE">
              <w:rPr>
                <w:rFonts w:ascii="GHEA Grapalat" w:hAnsi="GHEA Grapalat" w:cs="Arial"/>
                <w:sz w:val="20"/>
                <w:szCs w:val="20"/>
                <w:lang w:val="hy-AM"/>
              </w:rPr>
              <w:t xml:space="preserve"> </w:t>
            </w:r>
            <w:r>
              <w:rPr>
                <w:rFonts w:ascii="GHEA Grapalat" w:hAnsi="GHEA Grapalat" w:cs="Arial"/>
                <w:sz w:val="20"/>
                <w:szCs w:val="20"/>
                <w:lang w:val="hy-AM"/>
              </w:rPr>
              <w:t>102/</w:t>
            </w:r>
          </w:p>
        </w:tc>
        <w:tc>
          <w:tcPr>
            <w:tcW w:w="2952" w:type="dxa"/>
          </w:tcPr>
          <w:p w14:paraId="6CECA1F7" w14:textId="77777777" w:rsidR="00C25CE0" w:rsidRPr="004752D5" w:rsidRDefault="00C25CE0" w:rsidP="00C25CE0">
            <w:pPr>
              <w:pStyle w:val="a4"/>
              <w:autoSpaceDE w:val="0"/>
              <w:autoSpaceDN w:val="0"/>
              <w:adjustRightInd w:val="0"/>
              <w:ind w:right="-90"/>
              <w:rPr>
                <w:rFonts w:ascii="GHEA Grapalat" w:eastAsiaTheme="minorHAnsi" w:hAnsi="GHEA Grapalat" w:cs="Arial"/>
                <w:sz w:val="20"/>
                <w:szCs w:val="20"/>
              </w:rPr>
            </w:pPr>
            <w:r w:rsidRPr="004752D5">
              <w:rPr>
                <w:rFonts w:ascii="GHEA Grapalat" w:eastAsiaTheme="minorHAnsi" w:hAnsi="GHEA Grapalat" w:cs="Arial"/>
                <w:sz w:val="20"/>
                <w:szCs w:val="20"/>
              </w:rPr>
              <w:t xml:space="preserve">Պետական ոչ պրոֆիլային գույքի օտարման գործընթացի արդյունավետության բարձրացում, այդ նպատակով </w:t>
            </w:r>
            <w:r w:rsidRPr="004752D5">
              <w:rPr>
                <w:rFonts w:ascii="GHEA Grapalat" w:eastAsiaTheme="minorHAnsi" w:hAnsi="GHEA Grapalat" w:cs="Arial"/>
                <w:sz w:val="20"/>
                <w:szCs w:val="20"/>
              </w:rPr>
              <w:lastRenderedPageBreak/>
              <w:t>նոր գործիքակազմի ստեղծում՝ մասնագիտացված կառույցներին պատվիրակելու միջոցով</w:t>
            </w:r>
          </w:p>
          <w:p w14:paraId="4D0E7AB7" w14:textId="77777777" w:rsidR="00C25CE0" w:rsidRPr="004752D5" w:rsidRDefault="00C25CE0" w:rsidP="00C25CE0">
            <w:pPr>
              <w:pStyle w:val="a4"/>
              <w:autoSpaceDE w:val="0"/>
              <w:autoSpaceDN w:val="0"/>
              <w:adjustRightInd w:val="0"/>
              <w:ind w:right="-90"/>
              <w:rPr>
                <w:rFonts w:ascii="GHEA Grapalat" w:eastAsiaTheme="minorHAnsi" w:hAnsi="GHEA Grapalat" w:cs="Arial"/>
                <w:sz w:val="20"/>
                <w:szCs w:val="20"/>
              </w:rPr>
            </w:pPr>
          </w:p>
        </w:tc>
        <w:tc>
          <w:tcPr>
            <w:tcW w:w="3420" w:type="dxa"/>
          </w:tcPr>
          <w:p w14:paraId="27E4E69A" w14:textId="246FACFF" w:rsidR="00C25CE0" w:rsidRPr="004752D5" w:rsidRDefault="00C25CE0" w:rsidP="009027C9">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lastRenderedPageBreak/>
              <w:t xml:space="preserve">101.1 Մինչև 3 միավոր  պետական ոչ պրոֆիլային գույքի օտարման գործընթացի արդյունավետ կազմակերպելու նպատակով </w:t>
            </w:r>
            <w:r w:rsidRPr="004752D5">
              <w:rPr>
                <w:rFonts w:ascii="GHEA Grapalat" w:hAnsi="GHEA Grapalat" w:cs="Arial"/>
                <w:sz w:val="20"/>
                <w:szCs w:val="20"/>
                <w:lang w:val="hy-AM"/>
              </w:rPr>
              <w:lastRenderedPageBreak/>
              <w:t>(պիլոտային  ծրագրի շրջանակներում) այդ աշխատանքներին մրցակցային եղանակով մասնագիտացված կազմակերպությու</w:t>
            </w:r>
            <w:r w:rsidR="009027C9">
              <w:rPr>
                <w:rFonts w:ascii="GHEA Grapalat" w:hAnsi="GHEA Grapalat" w:cs="Arial"/>
                <w:sz w:val="20"/>
                <w:szCs w:val="20"/>
                <w:lang w:val="hy-AM"/>
              </w:rPr>
              <w:t>նն</w:t>
            </w:r>
            <w:r w:rsidRPr="004752D5">
              <w:rPr>
                <w:rFonts w:ascii="GHEA Grapalat" w:hAnsi="GHEA Grapalat" w:cs="Arial"/>
                <w:sz w:val="20"/>
                <w:szCs w:val="20"/>
                <w:lang w:val="hy-AM"/>
              </w:rPr>
              <w:t>երի ներգրավում և դրանց մասնակցության կանոնակարգում` նոր գործիքակազմի ստեղծման շնորհիվ:</w:t>
            </w:r>
          </w:p>
        </w:tc>
        <w:tc>
          <w:tcPr>
            <w:tcW w:w="4500" w:type="dxa"/>
          </w:tcPr>
          <w:p w14:paraId="46F98B36" w14:textId="33F01F68" w:rsidR="00C25CE0" w:rsidRPr="004752D5" w:rsidRDefault="00C25CE0" w:rsidP="00C25CE0">
            <w:pPr>
              <w:autoSpaceDE w:val="0"/>
              <w:autoSpaceDN w:val="0"/>
              <w:adjustRightInd w:val="0"/>
              <w:ind w:right="-15"/>
              <w:rPr>
                <w:rFonts w:ascii="GHEA Grapalat" w:hAnsi="GHEA Grapalat" w:cs="Arial"/>
                <w:sz w:val="20"/>
                <w:szCs w:val="20"/>
                <w:lang w:val="hy-AM"/>
              </w:rPr>
            </w:pPr>
            <w:r w:rsidRPr="004752D5">
              <w:rPr>
                <w:rFonts w:ascii="GHEA Grapalat" w:hAnsi="GHEA Grapalat" w:cs="Arial"/>
                <w:sz w:val="20"/>
                <w:szCs w:val="20"/>
                <w:lang w:val="hy-AM"/>
              </w:rPr>
              <w:lastRenderedPageBreak/>
              <w:t xml:space="preserve">Մինչև 3 միավոր պետական ոչ պրոֆիլային գույքի օտարման գործընթացի արդյունավետ կազմակերպելու նպատակով այդ աշխատանքներին մրցակցային եղանակով </w:t>
            </w:r>
            <w:r w:rsidRPr="004752D5">
              <w:rPr>
                <w:rFonts w:ascii="GHEA Grapalat" w:hAnsi="GHEA Grapalat" w:cs="Arial"/>
                <w:sz w:val="20"/>
                <w:szCs w:val="20"/>
                <w:lang w:val="hy-AM"/>
              </w:rPr>
              <w:lastRenderedPageBreak/>
              <w:t>մասնագիտացված կազմակերպությունների ներգրավելու համար բրոկերային կազմակերպությունների ներկայացուցիչների մասնակցությամբ Կոմիտեում 16.03.2023թ-ին տեղի է ունեցել աշխատանքային քննարկում։ Աշխատանքային քննարկման ընթացքում կազմակերպությունների ներկայացուցիչները հայտնել են, որ իրենց միջոցով հնարավոր կլինի յուրաքանչյուր գույք օտարել միայն բացառիկ օտարման իրավասություն ունենալու և յուրաքանչյուր օտարման գործարքից 2-3% միջնորդավճար ստանալու դեպքում, ինչպես նաև օտարման գործընթացը պատշաճ իրականացնելու նպատակով անհրաժեշտ է ստանալ տեղեկատվություն օտարման ենթակա գույքի քաղաքաշինական և այլ սահմանափակումների վերաբերյալ։ Սակայն հարկ ենք համարում նշել, որ բարձր իրացվելիություն ունեցող գույքերը արդեն իսկ օտարվում են մրցութային կամ աճուրդային եղանակով, մինչդեռ բրոկերային կազմակերպություններին ևս հետաքրքրում են բարձր իրացվելիություն ունեցող գույք</w:t>
            </w:r>
            <w:r>
              <w:rPr>
                <w:rFonts w:ascii="GHEA Grapalat" w:hAnsi="GHEA Grapalat" w:cs="Arial"/>
                <w:sz w:val="20"/>
                <w:szCs w:val="20"/>
                <w:lang w:val="hy-AM"/>
              </w:rPr>
              <w:t>ը</w:t>
            </w:r>
            <w:r w:rsidRPr="004752D5">
              <w:rPr>
                <w:rFonts w:ascii="GHEA Grapalat" w:hAnsi="GHEA Grapalat" w:cs="Arial"/>
                <w:sz w:val="20"/>
                <w:szCs w:val="20"/>
                <w:lang w:val="hy-AM"/>
              </w:rPr>
              <w:t xml:space="preserve">։ Կարելի է արձանագրել, որ բրոկերային կազմակերպությունների միջոցով պետական գույքի օտարման գործընթացը մի շարք ռիսկեր է պարունակում, մասնավորապես՝ օտարման գործընթացի ոչ մրցակցային լինելը։ Առկա է նաև օտարման երկրորդ մոդելը՝ մասնագիտացված կազմակերպություններից խորհրդատվական ծառայությունների ձեռքբերումը, որի ընթացքում նրանք կապահովեն գործընթացի հրապարակայնությունը և պոտենցիալ գնորդներին խորհրդատվության մատուցումը։ Այս մոդելի ընթացքում հնարավորություն կընձեռվի արդեն իսկ վաճառքի դրված գույքի համար գնորդներ ներգրավել նաև մասնագիտացված կառույցների միջոցով, որոնք գույքը վաճառվելու դեպքում </w:t>
            </w:r>
            <w:r w:rsidRPr="004752D5">
              <w:rPr>
                <w:rFonts w:ascii="GHEA Grapalat" w:hAnsi="GHEA Grapalat" w:cs="Arial"/>
                <w:sz w:val="20"/>
                <w:szCs w:val="20"/>
                <w:lang w:val="hy-AM"/>
              </w:rPr>
              <w:lastRenderedPageBreak/>
              <w:t>վերջիններս ևս հնարավորություն կունենան 1% միջնորդավճար ստանալու օտարված գույքի մեկնարկային գնի արժեքից և 2% միջնորդավճար մեկնարկային գնի և վաճառքի գնի տարբերությունից։</w:t>
            </w:r>
          </w:p>
          <w:p w14:paraId="6E5E795F" w14:textId="70EC6E37" w:rsidR="00C25CE0" w:rsidRPr="004752D5" w:rsidRDefault="00C25CE0" w:rsidP="00C25CE0">
            <w:pPr>
              <w:autoSpaceDE w:val="0"/>
              <w:autoSpaceDN w:val="0"/>
              <w:adjustRightInd w:val="0"/>
              <w:ind w:right="-15"/>
              <w:rPr>
                <w:rFonts w:ascii="GHEA Grapalat" w:hAnsi="GHEA Grapalat" w:cs="Arial"/>
                <w:sz w:val="20"/>
                <w:szCs w:val="20"/>
                <w:lang w:val="hy-AM"/>
              </w:rPr>
            </w:pPr>
            <w:r w:rsidRPr="004752D5">
              <w:rPr>
                <w:rFonts w:ascii="GHEA Grapalat" w:hAnsi="GHEA Grapalat" w:cs="Arial"/>
                <w:sz w:val="20"/>
                <w:szCs w:val="20"/>
                <w:lang w:val="hy-AM"/>
              </w:rPr>
              <w:t xml:space="preserve">Վերոնշյալ մոդելների վերաբերյալ տեղեկատվությունը ներկայացվել է ՀՀ վարչապետի աշխատակազմ: Միաժամանակ խնդրել ենք Փոխվարչապետի դիրքորոշումը ներկայացված մեթոդներից նախընտրելի տարբերակի վերաբերյալ։  </w:t>
            </w:r>
          </w:p>
          <w:p w14:paraId="39631AC9" w14:textId="394D2247" w:rsidR="00C25CE0" w:rsidRPr="004752D5" w:rsidRDefault="00C25CE0" w:rsidP="00C25CE0">
            <w:pPr>
              <w:autoSpaceDE w:val="0"/>
              <w:autoSpaceDN w:val="0"/>
              <w:adjustRightInd w:val="0"/>
              <w:ind w:right="-15"/>
              <w:rPr>
                <w:rFonts w:ascii="GHEA Grapalat" w:hAnsi="GHEA Grapalat" w:cs="Arial"/>
                <w:sz w:val="20"/>
                <w:szCs w:val="20"/>
                <w:lang w:val="hy-AM"/>
              </w:rPr>
            </w:pPr>
            <w:r w:rsidRPr="004752D5">
              <w:rPr>
                <w:rFonts w:ascii="GHEA Grapalat" w:hAnsi="GHEA Grapalat" w:cs="Arial"/>
                <w:sz w:val="20"/>
                <w:szCs w:val="20"/>
                <w:lang w:val="hy-AM"/>
              </w:rPr>
              <w:t>Միաժամանակ Կոմիտեն պետական սեփականություն հանդիսացող անշարժ գույքի վաճառքի և/կամ վարձակալության գրավչության բարձրացման, վաճառքների խթանման, ներդրողների համար պետական գույքի նկատմամբ հետաքրքրության բարձրացմանն ուղղված միջոցառումների ձեռք բերման նպատակով իրականացրել է մարքեթինգի կառավարման խորհրդատվական ծառայությունների ձեռքբերման ՊԳԿԿ-ԵՄԽԾՁԲ-2024/1-1 ծածկագրով երկփուլ մրցույթ, որի արդյունքում ընտրված մասնակից է ճանաչվել «Դիգնիսի» ՍՊԸ-ն։ Վերոնշյալ ծառայությունների իրականացման համար Կոմիտեն ՀՀ պետական բյուջեից ֆինանսավորում չի ակնկալում: Իրականացվելիք միջոցառումների շրջանակում վճարումը նախատեսվում է իրականացնել Գույքի գնորդի կողմից, որը չի ներառվի Գույքի վաճառքի գնի մեջ և մատուցվող ծառայությունների վարձատրության չափը կսահմանվի՝ ելնելով ներդրումային փաթեթներից։</w:t>
            </w:r>
          </w:p>
          <w:p w14:paraId="037082C5" w14:textId="58F0BA4C" w:rsidR="00C25CE0" w:rsidRPr="004752D5" w:rsidRDefault="00C25CE0" w:rsidP="00C25CE0">
            <w:pPr>
              <w:autoSpaceDE w:val="0"/>
              <w:autoSpaceDN w:val="0"/>
              <w:adjustRightInd w:val="0"/>
              <w:ind w:right="-15"/>
              <w:rPr>
                <w:rFonts w:ascii="GHEA Grapalat" w:hAnsi="GHEA Grapalat" w:cs="Arial"/>
                <w:sz w:val="20"/>
                <w:szCs w:val="20"/>
                <w:lang w:val="hy-AM"/>
              </w:rPr>
            </w:pPr>
            <w:r w:rsidRPr="004752D5">
              <w:rPr>
                <w:rFonts w:ascii="GHEA Grapalat" w:hAnsi="GHEA Grapalat" w:cs="Arial"/>
                <w:sz w:val="20"/>
                <w:szCs w:val="20"/>
                <w:lang w:val="hy-AM"/>
              </w:rPr>
              <w:t>2024 թվականի դեկտեմբերի 4-ին Կոմիտեն գրությամբ դիմել է ՀՀ ֆինանսների նախարարություն՝ ստանալու համար դիրքորոշում առ այն, թե արդյոք տվյալ պարագայում նպատակահարմար է կնքել գնման պայմանագիր</w:t>
            </w:r>
            <w:r>
              <w:rPr>
                <w:rFonts w:ascii="GHEA Grapalat" w:hAnsi="GHEA Grapalat" w:cs="GHEA Grapalat"/>
                <w:sz w:val="20"/>
                <w:szCs w:val="20"/>
                <w:shd w:val="clear" w:color="auto" w:fill="FFFFFF"/>
                <w:lang w:val="hy-AM"/>
              </w:rPr>
              <w:t xml:space="preserve">, որին ի պատասխան </w:t>
            </w:r>
            <w:r>
              <w:rPr>
                <w:rFonts w:ascii="GHEA Grapalat" w:hAnsi="GHEA Grapalat" w:cs="GHEA Grapalat"/>
                <w:sz w:val="20"/>
                <w:szCs w:val="20"/>
                <w:shd w:val="clear" w:color="auto" w:fill="FFFFFF"/>
                <w:lang w:val="hy-AM"/>
              </w:rPr>
              <w:lastRenderedPageBreak/>
              <w:t>հայտնել են, որ նպատակահարմար չէ։</w:t>
            </w:r>
          </w:p>
        </w:tc>
        <w:tc>
          <w:tcPr>
            <w:tcW w:w="2610" w:type="dxa"/>
          </w:tcPr>
          <w:p w14:paraId="0E557166" w14:textId="3B46BADE" w:rsidR="003A249B" w:rsidRPr="004752D5" w:rsidRDefault="0050797E" w:rsidP="00C25CE0">
            <w:pPr>
              <w:autoSpaceDE w:val="0"/>
              <w:autoSpaceDN w:val="0"/>
              <w:adjustRightInd w:val="0"/>
              <w:ind w:right="-90"/>
              <w:jc w:val="left"/>
              <w:rPr>
                <w:rFonts w:ascii="GHEA Grapalat" w:hAnsi="GHEA Grapalat" w:cs="Arial"/>
                <w:sz w:val="20"/>
                <w:szCs w:val="20"/>
                <w:lang w:val="hy-AM"/>
              </w:rPr>
            </w:pPr>
            <w:r>
              <w:rPr>
                <w:rFonts w:ascii="GHEA Grapalat" w:hAnsi="GHEA Grapalat" w:cs="Arial"/>
                <w:sz w:val="20"/>
                <w:szCs w:val="20"/>
                <w:lang w:val="hy-AM"/>
              </w:rPr>
              <w:lastRenderedPageBreak/>
              <w:t xml:space="preserve">Մինչև  </w:t>
            </w:r>
            <w:r w:rsidR="00BF0781" w:rsidRPr="008C2D52">
              <w:rPr>
                <w:rFonts w:ascii="GHEA Grapalat" w:hAnsi="GHEA Grapalat" w:cs="Arial"/>
                <w:sz w:val="20"/>
                <w:szCs w:val="20"/>
                <w:lang w:val="hy-AM"/>
              </w:rPr>
              <w:t>202</w:t>
            </w:r>
            <w:r w:rsidR="00BF0781">
              <w:rPr>
                <w:rFonts w:ascii="GHEA Grapalat" w:hAnsi="GHEA Grapalat" w:cs="Arial"/>
                <w:sz w:val="20"/>
                <w:szCs w:val="20"/>
                <w:lang w:val="hy-AM"/>
              </w:rPr>
              <w:t>3</w:t>
            </w:r>
            <w:r w:rsidR="00BF0781" w:rsidRPr="008C2D52">
              <w:rPr>
                <w:rFonts w:ascii="GHEA Grapalat" w:hAnsi="GHEA Grapalat" w:cs="Arial"/>
                <w:sz w:val="20"/>
                <w:szCs w:val="20"/>
                <w:lang w:val="hy-AM"/>
              </w:rPr>
              <w:t xml:space="preserve"> թվականի դեկտեմբերի 3-րդ տասնօրյակ</w:t>
            </w:r>
            <w:r w:rsidR="00BF0781">
              <w:rPr>
                <w:rFonts w:ascii="GHEA Grapalat" w:hAnsi="GHEA Grapalat" w:cs="Arial"/>
                <w:sz w:val="20"/>
                <w:szCs w:val="20"/>
                <w:lang w:val="hy-AM"/>
              </w:rPr>
              <w:t>։</w:t>
            </w:r>
            <w:r w:rsidR="009027C9">
              <w:rPr>
                <w:rFonts w:ascii="GHEA Grapalat" w:hAnsi="GHEA Grapalat" w:cs="Arial"/>
                <w:sz w:val="20"/>
                <w:szCs w:val="20"/>
                <w:lang w:val="hy-AM"/>
              </w:rPr>
              <w:t xml:space="preserve"> Կատարվել է սահմանված ժամկետում։</w:t>
            </w:r>
          </w:p>
        </w:tc>
        <w:tc>
          <w:tcPr>
            <w:tcW w:w="1332" w:type="dxa"/>
          </w:tcPr>
          <w:p w14:paraId="7EEC0182" w14:textId="77777777" w:rsidR="00C25CE0" w:rsidRPr="004752D5" w:rsidRDefault="00C25CE0" w:rsidP="00C25CE0">
            <w:pPr>
              <w:autoSpaceDE w:val="0"/>
              <w:autoSpaceDN w:val="0"/>
              <w:adjustRightInd w:val="0"/>
              <w:ind w:right="-90"/>
              <w:jc w:val="left"/>
              <w:rPr>
                <w:rFonts w:ascii="GHEA Grapalat" w:hAnsi="GHEA Grapalat" w:cs="Arial"/>
                <w:sz w:val="20"/>
                <w:szCs w:val="20"/>
                <w:lang w:val="hy-AM"/>
              </w:rPr>
            </w:pPr>
          </w:p>
        </w:tc>
      </w:tr>
      <w:tr w:rsidR="00BF0781" w:rsidRPr="00D8648A" w14:paraId="4EF7AC28" w14:textId="77777777" w:rsidTr="009027C9">
        <w:tc>
          <w:tcPr>
            <w:tcW w:w="648" w:type="dxa"/>
          </w:tcPr>
          <w:p w14:paraId="286C96CB" w14:textId="40FC4618" w:rsidR="00BF0781" w:rsidRPr="004752D5" w:rsidRDefault="00BF0781" w:rsidP="00BF0781">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lastRenderedPageBreak/>
              <w:t>102</w:t>
            </w:r>
            <w:r w:rsidRPr="004752D5">
              <w:rPr>
                <w:rFonts w:ascii="MS Mincho" w:eastAsia="MS Mincho" w:hAnsi="MS Mincho" w:cs="MS Mincho" w:hint="eastAsia"/>
                <w:sz w:val="20"/>
                <w:szCs w:val="20"/>
                <w:lang w:val="hy-AM"/>
              </w:rPr>
              <w:t>․</w:t>
            </w:r>
          </w:p>
          <w:p w14:paraId="6D3B2E6D" w14:textId="3436C601" w:rsidR="00BF0781" w:rsidRPr="004752D5" w:rsidRDefault="00BF0781" w:rsidP="00BF0781">
            <w:pPr>
              <w:autoSpaceDE w:val="0"/>
              <w:autoSpaceDN w:val="0"/>
              <w:adjustRightInd w:val="0"/>
              <w:ind w:right="-90"/>
              <w:jc w:val="left"/>
              <w:rPr>
                <w:rFonts w:ascii="GHEA Grapalat" w:hAnsi="GHEA Grapalat" w:cs="Arial"/>
                <w:sz w:val="20"/>
                <w:szCs w:val="20"/>
                <w:lang w:val="hy-AM"/>
              </w:rPr>
            </w:pPr>
            <w:r w:rsidRPr="00095FFE">
              <w:rPr>
                <w:rFonts w:ascii="GHEA Grapalat" w:hAnsi="GHEA Grapalat" w:cs="Arial"/>
                <w:sz w:val="20"/>
                <w:szCs w:val="20"/>
                <w:lang w:val="hy-AM"/>
              </w:rPr>
              <w:t>/նախկին</w:t>
            </w:r>
            <w:r>
              <w:rPr>
                <w:rFonts w:ascii="GHEA Grapalat" w:hAnsi="GHEA Grapalat" w:cs="Arial"/>
                <w:sz w:val="20"/>
                <w:szCs w:val="20"/>
                <w:lang w:val="hy-AM"/>
              </w:rPr>
              <w:t>՝</w:t>
            </w:r>
            <w:r w:rsidRPr="00095FFE">
              <w:rPr>
                <w:rFonts w:ascii="GHEA Grapalat" w:hAnsi="GHEA Grapalat" w:cs="Arial"/>
                <w:sz w:val="20"/>
                <w:szCs w:val="20"/>
                <w:lang w:val="hy-AM"/>
              </w:rPr>
              <w:t xml:space="preserve"> </w:t>
            </w:r>
            <w:r>
              <w:rPr>
                <w:rFonts w:ascii="GHEA Grapalat" w:hAnsi="GHEA Grapalat" w:cs="Arial"/>
                <w:sz w:val="20"/>
                <w:szCs w:val="20"/>
                <w:lang w:val="hy-AM"/>
              </w:rPr>
              <w:t>103/</w:t>
            </w:r>
          </w:p>
        </w:tc>
        <w:tc>
          <w:tcPr>
            <w:tcW w:w="2952" w:type="dxa"/>
          </w:tcPr>
          <w:p w14:paraId="1271056F" w14:textId="77777777" w:rsidR="00BF0781" w:rsidRPr="004752D5" w:rsidRDefault="00BF0781" w:rsidP="00BF0781">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 xml:space="preserve">Նպաստավոր ներդրումային միջավայրի ձևավորում և արժեթղթերի շուկայի կայացում, ինչպես նաև ֆոնդային բորսայի միջոցով համեմատաբար բարձր շահութաբերություն ունեցող պետական մասնակցությամբ առևտրային կազմակերպությունների մասնավորեցման գործընթացի իրականացում </w:t>
            </w:r>
          </w:p>
        </w:tc>
        <w:tc>
          <w:tcPr>
            <w:tcW w:w="3420" w:type="dxa"/>
          </w:tcPr>
          <w:p w14:paraId="14EA344A" w14:textId="73F591CE" w:rsidR="00BF0781" w:rsidRPr="00802660" w:rsidRDefault="00BF0781" w:rsidP="00BF0781">
            <w:pPr>
              <w:pStyle w:val="a6"/>
              <w:autoSpaceDE w:val="0"/>
              <w:autoSpaceDN w:val="0"/>
              <w:adjustRightInd w:val="0"/>
              <w:ind w:right="-90"/>
              <w:rPr>
                <w:rFonts w:ascii="GHEA Grapalat" w:hAnsi="GHEA Grapalat" w:cs="Arial"/>
                <w:lang w:val="hy-AM"/>
              </w:rPr>
            </w:pPr>
            <w:r w:rsidRPr="004752D5">
              <w:rPr>
                <w:rFonts w:ascii="GHEA Grapalat" w:hAnsi="GHEA Grapalat" w:cs="Arial"/>
                <w:lang w:val="hy-AM"/>
              </w:rPr>
              <w:t xml:space="preserve">102.1 «Պետական գույքի մասնավորեցման 2017-2020 թվականների ծրագրի մասին» Հայաստանի Հանրապետության օրենքում փոփոխություններ և լրացումներ կատարելու մասին» Հայաստանի Հանրապետության </w:t>
            </w:r>
            <w:r w:rsidRPr="00802660">
              <w:rPr>
                <w:rFonts w:ascii="GHEA Grapalat" w:hAnsi="GHEA Grapalat" w:cs="Arial"/>
                <w:lang w:val="hy-AM"/>
              </w:rPr>
              <w:t xml:space="preserve"> օրենքի նախագծին հավանություն տալու մասին» ՀՀ  կառավարության որոշման ընդունում</w:t>
            </w:r>
          </w:p>
        </w:tc>
        <w:tc>
          <w:tcPr>
            <w:tcW w:w="4500" w:type="dxa"/>
          </w:tcPr>
          <w:p w14:paraId="273E62F9" w14:textId="77777777" w:rsidR="00BF0781" w:rsidRPr="004752D5" w:rsidRDefault="00BF0781" w:rsidP="00BF0781">
            <w:pPr>
              <w:shd w:val="clear" w:color="auto" w:fill="FFFFFF"/>
              <w:tabs>
                <w:tab w:val="left" w:pos="9810"/>
              </w:tabs>
              <w:autoSpaceDE w:val="0"/>
              <w:autoSpaceDN w:val="0"/>
              <w:adjustRightInd w:val="0"/>
              <w:ind w:right="-15"/>
              <w:rPr>
                <w:rFonts w:ascii="GHEA Grapalat" w:hAnsi="GHEA Grapalat" w:cs="Arial"/>
                <w:sz w:val="20"/>
                <w:szCs w:val="20"/>
                <w:lang w:val="hy-AM"/>
              </w:rPr>
            </w:pPr>
            <w:r w:rsidRPr="004752D5">
              <w:rPr>
                <w:rFonts w:ascii="GHEA Grapalat" w:hAnsi="GHEA Grapalat" w:cs="Arial"/>
                <w:sz w:val="20"/>
                <w:szCs w:val="20"/>
                <w:lang w:val="hy-AM"/>
              </w:rPr>
              <w:t xml:space="preserve">Տվյալ միջոցառման կատարման շրջանակներում մշակվել և 2024 թվականի մարտի 20-ին ընդունվել է ««Պետական գույքի մասնավորեցման 2017-2020 թվականների ծրագրի մասին» օրենքում փոփոխություն կատարելու մասին» ՀՕ-135-Ն օրենքը, որով «Արտակարգ իրավիճակների օդանավակայան» ՓԲԸ-ն հանվել է «Պետական գույքի մասնավորեցման 2017-2020 թվականների ծրագրի մասին» ՀՀ օրենքի մաս կազմող՝ «2017-2020 թվականներին մասնավորեցման առաջարկվող պետական բաժնեմաս ունեցող ընկերությունների, մասնավորեցման օբյեկտների (այդ թվում` մասնավորեցման նախորդ ծրագրերում ընդգրկված)» ցանկից: </w:t>
            </w:r>
          </w:p>
          <w:p w14:paraId="33FAA24D" w14:textId="215345E7" w:rsidR="00BF0781" w:rsidRPr="004752D5" w:rsidRDefault="00BF0781" w:rsidP="00BF0781">
            <w:pPr>
              <w:autoSpaceDE w:val="0"/>
              <w:autoSpaceDN w:val="0"/>
              <w:adjustRightInd w:val="0"/>
              <w:ind w:right="-15"/>
              <w:contextualSpacing/>
              <w:rPr>
                <w:rFonts w:ascii="GHEA Grapalat" w:hAnsi="GHEA Grapalat" w:cs="Arial"/>
                <w:sz w:val="20"/>
                <w:szCs w:val="20"/>
                <w:lang w:val="hy-AM"/>
              </w:rPr>
            </w:pPr>
            <w:r w:rsidRPr="004752D5">
              <w:rPr>
                <w:rFonts w:ascii="GHEA Grapalat" w:hAnsi="GHEA Grapalat" w:cs="Arial"/>
                <w:sz w:val="20"/>
                <w:szCs w:val="20"/>
                <w:lang w:val="hy-AM"/>
              </w:rPr>
              <w:t>Միաժամանակ, տվյալ միջոցառման կատարման շրջանակներում ՀՀ ՏԿԵՆ 21</w:t>
            </w:r>
            <w:r w:rsidRPr="004752D5">
              <w:rPr>
                <w:rFonts w:ascii="MS Mincho" w:eastAsia="MS Mincho" w:hAnsi="MS Mincho" w:cs="MS Mincho" w:hint="eastAsia"/>
                <w:sz w:val="20"/>
                <w:szCs w:val="20"/>
                <w:lang w:val="hy-AM"/>
              </w:rPr>
              <w:t>․</w:t>
            </w:r>
            <w:r w:rsidRPr="004752D5">
              <w:rPr>
                <w:rFonts w:ascii="GHEA Grapalat" w:hAnsi="GHEA Grapalat" w:cs="Arial"/>
                <w:sz w:val="20"/>
                <w:szCs w:val="20"/>
                <w:lang w:val="hy-AM"/>
              </w:rPr>
              <w:t>11</w:t>
            </w:r>
            <w:r w:rsidRPr="004752D5">
              <w:rPr>
                <w:rFonts w:ascii="MS Mincho" w:eastAsia="MS Mincho" w:hAnsi="MS Mincho" w:cs="MS Mincho" w:hint="eastAsia"/>
                <w:sz w:val="20"/>
                <w:szCs w:val="20"/>
                <w:lang w:val="hy-AM"/>
              </w:rPr>
              <w:t>․</w:t>
            </w:r>
            <w:r w:rsidRPr="004752D5">
              <w:rPr>
                <w:rFonts w:ascii="GHEA Grapalat" w:hAnsi="GHEA Grapalat" w:cs="Arial"/>
                <w:sz w:val="20"/>
                <w:szCs w:val="20"/>
                <w:lang w:val="hy-AM"/>
              </w:rPr>
              <w:t>2024թ</w:t>
            </w:r>
            <w:r w:rsidRPr="004752D5">
              <w:rPr>
                <w:rFonts w:ascii="MS Mincho" w:eastAsia="MS Mincho" w:hAnsi="MS Mincho" w:cs="MS Mincho" w:hint="eastAsia"/>
                <w:sz w:val="20"/>
                <w:szCs w:val="20"/>
                <w:lang w:val="hy-AM"/>
              </w:rPr>
              <w:t>․</w:t>
            </w:r>
            <w:r w:rsidRPr="004752D5">
              <w:rPr>
                <w:rFonts w:ascii="GHEA Grapalat" w:hAnsi="GHEA Grapalat" w:cs="Arial"/>
                <w:sz w:val="20"/>
                <w:szCs w:val="20"/>
                <w:lang w:val="hy-AM"/>
              </w:rPr>
              <w:t xml:space="preserve"> թիվ ԴԽ///37511-2024 գրությամբ ՀՀ կառավարության քննարկմանն է ներկայացվել ««Պետական գույքի մասնավորեցման 2017-2020 թվականների ծրագրի մասին» օրենքում լրացում կատարելու մասին» օրենքի նախագիծը, որով նախատեսվում է ՀՀ կառավարության 2023 թվականի օգոստոսի 17-ի թիվ 1404-Ա որոշմամբ ստեղծված «Ռիփաբլիք Պլազա» փակ բաժնետիրական ընկերությունն ընդգրկել մասնավորեցման ցանկում։  Ֆինանսատնտեսական նախարարական կոմիտեի 03</w:t>
            </w:r>
            <w:r w:rsidRPr="004752D5">
              <w:rPr>
                <w:rFonts w:ascii="MS Mincho" w:eastAsia="MS Mincho" w:hAnsi="MS Mincho" w:cs="MS Mincho" w:hint="eastAsia"/>
                <w:sz w:val="20"/>
                <w:szCs w:val="20"/>
                <w:lang w:val="hy-AM"/>
              </w:rPr>
              <w:t>․</w:t>
            </w:r>
            <w:r w:rsidRPr="004752D5">
              <w:rPr>
                <w:rFonts w:ascii="GHEA Grapalat" w:hAnsi="GHEA Grapalat" w:cs="Arial"/>
                <w:sz w:val="20"/>
                <w:szCs w:val="20"/>
                <w:lang w:val="hy-AM"/>
              </w:rPr>
              <w:t>12</w:t>
            </w:r>
            <w:r w:rsidRPr="004752D5">
              <w:rPr>
                <w:rFonts w:ascii="MS Mincho" w:eastAsia="MS Mincho" w:hAnsi="MS Mincho" w:cs="MS Mincho" w:hint="eastAsia"/>
                <w:sz w:val="20"/>
                <w:szCs w:val="20"/>
                <w:lang w:val="hy-AM"/>
              </w:rPr>
              <w:t>․</w:t>
            </w:r>
            <w:r w:rsidRPr="004752D5">
              <w:rPr>
                <w:rFonts w:ascii="GHEA Grapalat" w:hAnsi="GHEA Grapalat" w:cs="Arial"/>
                <w:sz w:val="20"/>
                <w:szCs w:val="20"/>
                <w:lang w:val="hy-AM"/>
              </w:rPr>
              <w:t>2024թ</w:t>
            </w:r>
            <w:r w:rsidRPr="004752D5">
              <w:rPr>
                <w:rFonts w:ascii="MS Mincho" w:eastAsia="MS Mincho" w:hAnsi="MS Mincho" w:cs="MS Mincho" w:hint="eastAsia"/>
                <w:sz w:val="20"/>
                <w:szCs w:val="20"/>
                <w:lang w:val="hy-AM"/>
              </w:rPr>
              <w:t>․</w:t>
            </w:r>
            <w:r w:rsidRPr="004752D5">
              <w:rPr>
                <w:rFonts w:ascii="GHEA Grapalat" w:hAnsi="GHEA Grapalat" w:cs="Arial"/>
                <w:sz w:val="20"/>
                <w:szCs w:val="20"/>
                <w:lang w:val="hy-AM"/>
              </w:rPr>
              <w:t xml:space="preserve"> նիստի թիվ ԿԱ/362-2024 արձանագրության 8-րդ կետով «Ռիփաբլիք Պլազա» ԲԲԸ-ն «Պետական գույքի մասնավորեցման 2017-2020 թվականների ծրագրի մասին» օրենքի ցանկում ընդգրկելու օրենքի նախագծին տրվել է բացասական դիրքորոշում՝ առաջարկելով Կոմիտեին երկշաբաթյա ժամկետում Ֆինանսատնտեսական </w:t>
            </w:r>
            <w:r w:rsidRPr="004752D5">
              <w:rPr>
                <w:rFonts w:ascii="GHEA Grapalat" w:hAnsi="GHEA Grapalat" w:cs="Arial"/>
                <w:sz w:val="20"/>
                <w:szCs w:val="20"/>
                <w:lang w:val="hy-AM"/>
              </w:rPr>
              <w:lastRenderedPageBreak/>
              <w:t>նախարարական կոմիտեի նիստի քննարկմանը ներկայացնել ՀՀ կառավարության 2023 թվականի օգոստոսի 17-ի «Գույք հետ վեցնելու, ամրացնելու, գույքի ներդրմամբ «Ռիփաբլիք Պլազա» բաց բաժնետիրական ընկերություն հիմնադրելու մասին» N 1404-Ա որոշման մեջ փոփոխություններ կատարելու վերաբերյալ նախագիծ, որով կնախատեսվի, որ գույքը մասնավորեցման ցանկում կներառվի 6-ամսյա ժամկետում: Մշակվել և</w:t>
            </w:r>
            <w:r w:rsidRPr="0086371F">
              <w:rPr>
                <w:rFonts w:ascii="Calibri" w:hAnsi="Calibri" w:cs="Calibri"/>
                <w:sz w:val="20"/>
                <w:szCs w:val="20"/>
                <w:lang w:val="hy-AM"/>
              </w:rPr>
              <w:t> </w:t>
            </w:r>
            <w:r w:rsidRPr="0086371F">
              <w:rPr>
                <w:rFonts w:ascii="GHEA Grapalat" w:hAnsi="GHEA Grapalat" w:cs="Arial"/>
                <w:sz w:val="20"/>
                <w:szCs w:val="20"/>
                <w:lang w:val="hy-AM"/>
              </w:rPr>
              <w:t xml:space="preserve"> 2024 թվականի դեկտեմբերի 27</w:t>
            </w:r>
            <w:r>
              <w:rPr>
                <w:rFonts w:ascii="GHEA Grapalat" w:hAnsi="GHEA Grapalat" w:cs="Arial"/>
                <w:sz w:val="20"/>
                <w:szCs w:val="20"/>
                <w:lang w:val="hy-AM"/>
              </w:rPr>
              <w:t xml:space="preserve">-ի </w:t>
            </w:r>
            <w:r w:rsidRPr="004752D5">
              <w:rPr>
                <w:rFonts w:ascii="GHEA Grapalat" w:hAnsi="GHEA Grapalat" w:cs="Arial"/>
                <w:sz w:val="20"/>
                <w:szCs w:val="20"/>
                <w:lang w:val="hy-AM"/>
              </w:rPr>
              <w:t>«</w:t>
            </w:r>
            <w:r>
              <w:rPr>
                <w:rFonts w:ascii="GHEA Grapalat" w:hAnsi="GHEA Grapalat" w:cs="Arial"/>
                <w:sz w:val="20"/>
                <w:szCs w:val="20"/>
                <w:lang w:val="hy-AM"/>
              </w:rPr>
              <w:t>Հ</w:t>
            </w:r>
            <w:r w:rsidRPr="0086371F">
              <w:rPr>
                <w:rFonts w:ascii="GHEA Grapalat" w:hAnsi="GHEA Grapalat" w:cs="Arial"/>
                <w:sz w:val="20"/>
                <w:szCs w:val="20"/>
                <w:lang w:val="hy-AM"/>
              </w:rPr>
              <w:t xml:space="preserve">այաստանի </w:t>
            </w:r>
            <w:r>
              <w:rPr>
                <w:rFonts w:ascii="GHEA Grapalat" w:hAnsi="GHEA Grapalat" w:cs="Arial"/>
                <w:sz w:val="20"/>
                <w:szCs w:val="20"/>
                <w:lang w:val="hy-AM"/>
              </w:rPr>
              <w:t>Հ</w:t>
            </w:r>
            <w:r w:rsidRPr="0086371F">
              <w:rPr>
                <w:rFonts w:ascii="GHEA Grapalat" w:hAnsi="GHEA Grapalat" w:cs="Arial"/>
                <w:sz w:val="20"/>
                <w:szCs w:val="20"/>
                <w:lang w:val="hy-AM"/>
              </w:rPr>
              <w:t>անրապետության կառավարության 2023 թվականի օգոստոսի 17-ի N1404-</w:t>
            </w:r>
            <w:r>
              <w:rPr>
                <w:rFonts w:ascii="GHEA Grapalat" w:hAnsi="GHEA Grapalat" w:cs="Arial"/>
                <w:sz w:val="20"/>
                <w:szCs w:val="20"/>
                <w:lang w:val="hy-AM"/>
              </w:rPr>
              <w:t>Ա</w:t>
            </w:r>
            <w:r w:rsidRPr="0086371F">
              <w:rPr>
                <w:rFonts w:ascii="GHEA Grapalat" w:hAnsi="GHEA Grapalat" w:cs="Arial"/>
                <w:sz w:val="20"/>
                <w:szCs w:val="20"/>
                <w:lang w:val="hy-AM"/>
              </w:rPr>
              <w:t xml:space="preserve"> որոշման մեջ փոփոխություն կատարելու մասին</w:t>
            </w:r>
            <w:r w:rsidRPr="004752D5">
              <w:rPr>
                <w:rFonts w:ascii="GHEA Grapalat" w:hAnsi="GHEA Grapalat" w:cs="Arial"/>
                <w:sz w:val="20"/>
                <w:szCs w:val="20"/>
                <w:lang w:val="hy-AM"/>
              </w:rPr>
              <w:t>»</w:t>
            </w:r>
            <w:r w:rsidRPr="0086371F">
              <w:rPr>
                <w:rFonts w:ascii="GHEA Grapalat" w:hAnsi="GHEA Grapalat" w:cs="Arial"/>
                <w:sz w:val="20"/>
                <w:szCs w:val="20"/>
                <w:lang w:val="hy-AM"/>
              </w:rPr>
              <w:t xml:space="preserve"> N 2059-Ա</w:t>
            </w:r>
            <w:r>
              <w:rPr>
                <w:rFonts w:ascii="GHEA Grapalat" w:hAnsi="GHEA Grapalat" w:cs="Arial"/>
                <w:sz w:val="20"/>
                <w:szCs w:val="20"/>
                <w:lang w:val="hy-AM"/>
              </w:rPr>
              <w:t xml:space="preserve"> որոշումը։ </w:t>
            </w:r>
          </w:p>
        </w:tc>
        <w:tc>
          <w:tcPr>
            <w:tcW w:w="2610" w:type="dxa"/>
          </w:tcPr>
          <w:p w14:paraId="215F595C" w14:textId="08799297" w:rsidR="00BF0781" w:rsidRDefault="00CA7B3A" w:rsidP="00BF0781">
            <w:pPr>
              <w:ind w:left="-14" w:right="-15"/>
              <w:rPr>
                <w:rFonts w:ascii="GHEA Grapalat" w:hAnsi="GHEA Grapalat" w:cs="GHEA Grapalat"/>
                <w:sz w:val="20"/>
                <w:szCs w:val="20"/>
                <w:shd w:val="clear" w:color="auto" w:fill="FFFFFF"/>
                <w:lang w:val="hy-AM"/>
              </w:rPr>
            </w:pPr>
            <w:r>
              <w:rPr>
                <w:rFonts w:ascii="GHEA Grapalat" w:hAnsi="GHEA Grapalat" w:cs="Arial"/>
                <w:sz w:val="20"/>
                <w:szCs w:val="20"/>
                <w:lang w:val="hy-AM"/>
              </w:rPr>
              <w:lastRenderedPageBreak/>
              <w:t>Մ</w:t>
            </w:r>
            <w:r w:rsidRPr="00CA7B3A">
              <w:rPr>
                <w:rFonts w:ascii="GHEA Grapalat" w:hAnsi="GHEA Grapalat" w:cs="Arial"/>
                <w:sz w:val="20"/>
                <w:szCs w:val="20"/>
                <w:lang w:val="hy-AM"/>
              </w:rPr>
              <w:t xml:space="preserve">ինչև 2023 թվականի դեկտեմբերի 1-ին տասնօրյակ </w:t>
            </w:r>
            <w:r>
              <w:rPr>
                <w:rFonts w:ascii="GHEA Grapalat" w:hAnsi="GHEA Grapalat" w:cs="Arial"/>
                <w:sz w:val="20"/>
                <w:szCs w:val="20"/>
                <w:lang w:val="hy-AM"/>
              </w:rPr>
              <w:t>/</w:t>
            </w:r>
            <w:r w:rsidR="00BF0781" w:rsidRPr="001734D5">
              <w:rPr>
                <w:rFonts w:ascii="GHEA Grapalat" w:hAnsi="GHEA Grapalat" w:cs="GHEA Grapalat"/>
                <w:sz w:val="20"/>
                <w:szCs w:val="20"/>
                <w:shd w:val="clear" w:color="auto" w:fill="FFFFFF"/>
                <w:lang w:val="hy-AM"/>
              </w:rPr>
              <w:t xml:space="preserve">ՀՀ կառավարության 30.05.2024թ. N 816-Ա որոշմամբ փոփոխություն է կատարվել, </w:t>
            </w:r>
            <w:r w:rsidR="00BF0781">
              <w:rPr>
                <w:rFonts w:ascii="GHEA Grapalat" w:hAnsi="GHEA Grapalat" w:cs="GHEA Grapalat"/>
                <w:sz w:val="20"/>
                <w:szCs w:val="20"/>
                <w:shd w:val="clear" w:color="auto" w:fill="FFFFFF"/>
                <w:lang w:val="hy-AM"/>
              </w:rPr>
              <w:t xml:space="preserve">որով </w:t>
            </w:r>
            <w:r w:rsidR="00BF0781" w:rsidRPr="00F22B83">
              <w:rPr>
                <w:rFonts w:ascii="GHEA Grapalat" w:hAnsi="GHEA Grapalat" w:cs="Sylfaen"/>
                <w:bCs/>
                <w:sz w:val="20"/>
                <w:szCs w:val="20"/>
                <w:lang w:val="hy-AM"/>
              </w:rPr>
              <w:t xml:space="preserve">«Ռիփաբլիք Պլազա» </w:t>
            </w:r>
            <w:r w:rsidR="00BF0781">
              <w:rPr>
                <w:rFonts w:ascii="GHEA Grapalat" w:hAnsi="GHEA Grapalat" w:cs="Sylfaen"/>
                <w:bCs/>
                <w:sz w:val="20"/>
                <w:szCs w:val="20"/>
                <w:lang w:val="hy-AM"/>
              </w:rPr>
              <w:t>ՓԲԸ-ի</w:t>
            </w:r>
            <w:r w:rsidR="00BF0781" w:rsidRPr="001734D5">
              <w:rPr>
                <w:rFonts w:ascii="GHEA Grapalat" w:hAnsi="GHEA Grapalat" w:cs="GHEA Grapalat"/>
                <w:sz w:val="20"/>
                <w:szCs w:val="20"/>
                <w:shd w:val="clear" w:color="auto" w:fill="FFFFFF"/>
                <w:lang w:val="hy-AM"/>
              </w:rPr>
              <w:t xml:space="preserve"> մասնավորեցման </w:t>
            </w:r>
            <w:r w:rsidR="00BF0781">
              <w:rPr>
                <w:rFonts w:ascii="GHEA Grapalat" w:hAnsi="GHEA Grapalat" w:cs="GHEA Grapalat"/>
                <w:sz w:val="20"/>
                <w:szCs w:val="20"/>
                <w:shd w:val="clear" w:color="auto" w:fill="FFFFFF"/>
                <w:lang w:val="hy-AM"/>
              </w:rPr>
              <w:t>ծրագրում ընդգրկելու առաջարկի մասին</w:t>
            </w:r>
            <w:r w:rsidR="00BF0781" w:rsidRPr="001734D5">
              <w:rPr>
                <w:rFonts w:ascii="GHEA Grapalat" w:hAnsi="GHEA Grapalat" w:cs="GHEA Grapalat"/>
                <w:sz w:val="20"/>
                <w:szCs w:val="20"/>
                <w:shd w:val="clear" w:color="auto" w:fill="FFFFFF"/>
                <w:lang w:val="hy-AM"/>
              </w:rPr>
              <w:t xml:space="preserve"> </w:t>
            </w:r>
            <w:r w:rsidR="00BF0781">
              <w:rPr>
                <w:rFonts w:ascii="GHEA Grapalat" w:hAnsi="GHEA Grapalat" w:cs="GHEA Grapalat"/>
                <w:sz w:val="20"/>
                <w:szCs w:val="20"/>
                <w:shd w:val="clear" w:color="auto" w:fill="FFFFFF"/>
                <w:lang w:val="hy-AM"/>
              </w:rPr>
              <w:t>ժամկետը սահմանվել է մինչև 2024 թվականի նոյեմբերի 23-ը</w:t>
            </w:r>
            <w:r w:rsidR="00BF0781" w:rsidRPr="001734D5">
              <w:rPr>
                <w:rFonts w:ascii="GHEA Grapalat" w:hAnsi="GHEA Grapalat" w:cs="GHEA Grapalat"/>
                <w:sz w:val="20"/>
                <w:szCs w:val="20"/>
                <w:shd w:val="clear" w:color="auto" w:fill="FFFFFF"/>
                <w:lang w:val="hy-AM"/>
              </w:rPr>
              <w:t>:</w:t>
            </w:r>
          </w:p>
          <w:p w14:paraId="69F81AF0" w14:textId="04771F8C" w:rsidR="002F770C" w:rsidRPr="001734D5" w:rsidRDefault="002F770C" w:rsidP="00BF0781">
            <w:pPr>
              <w:ind w:left="-14" w:right="-15"/>
              <w:rPr>
                <w:rFonts w:ascii="GHEA Grapalat" w:hAnsi="GHEA Grapalat" w:cs="GHEA Grapalat"/>
                <w:sz w:val="20"/>
                <w:szCs w:val="20"/>
                <w:shd w:val="clear" w:color="auto" w:fill="FFFFFF"/>
                <w:lang w:val="hy-AM"/>
              </w:rPr>
            </w:pPr>
            <w:r>
              <w:rPr>
                <w:rFonts w:ascii="GHEA Grapalat" w:hAnsi="GHEA Grapalat" w:cs="Arial"/>
                <w:sz w:val="20"/>
                <w:szCs w:val="20"/>
                <w:lang w:val="hy-AM"/>
              </w:rPr>
              <w:t>Կատարվել է սահմանված ժամկետում։</w:t>
            </w:r>
          </w:p>
          <w:p w14:paraId="31314142" w14:textId="0BBF9A2A" w:rsidR="00BF0781" w:rsidRPr="004752D5" w:rsidRDefault="00BF0781" w:rsidP="00BF0781">
            <w:pPr>
              <w:autoSpaceDE w:val="0"/>
              <w:autoSpaceDN w:val="0"/>
              <w:adjustRightInd w:val="0"/>
              <w:ind w:right="-90"/>
              <w:jc w:val="left"/>
              <w:rPr>
                <w:rFonts w:ascii="GHEA Grapalat" w:hAnsi="GHEA Grapalat" w:cs="Arial"/>
                <w:sz w:val="20"/>
                <w:szCs w:val="20"/>
                <w:lang w:val="hy-AM"/>
              </w:rPr>
            </w:pPr>
          </w:p>
        </w:tc>
        <w:tc>
          <w:tcPr>
            <w:tcW w:w="1332" w:type="dxa"/>
          </w:tcPr>
          <w:p w14:paraId="49A16049" w14:textId="77777777" w:rsidR="00BF0781" w:rsidRPr="004752D5" w:rsidRDefault="00BF0781" w:rsidP="00BF0781">
            <w:pPr>
              <w:autoSpaceDE w:val="0"/>
              <w:autoSpaceDN w:val="0"/>
              <w:adjustRightInd w:val="0"/>
              <w:ind w:right="-90"/>
              <w:jc w:val="left"/>
              <w:rPr>
                <w:rFonts w:ascii="GHEA Grapalat" w:hAnsi="GHEA Grapalat" w:cs="Arial"/>
                <w:sz w:val="20"/>
                <w:szCs w:val="20"/>
                <w:lang w:val="hy-AM"/>
              </w:rPr>
            </w:pPr>
          </w:p>
        </w:tc>
      </w:tr>
      <w:tr w:rsidR="00BF0781" w:rsidRPr="00A60DC2" w14:paraId="12C8E75E" w14:textId="77777777" w:rsidTr="009027C9">
        <w:tc>
          <w:tcPr>
            <w:tcW w:w="648" w:type="dxa"/>
          </w:tcPr>
          <w:p w14:paraId="5A01E4E1" w14:textId="046D848B" w:rsidR="00BF0781" w:rsidRPr="004752D5" w:rsidRDefault="00BF0781" w:rsidP="00BF0781">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103.</w:t>
            </w:r>
          </w:p>
          <w:p w14:paraId="0E9459FE" w14:textId="285D2FA4" w:rsidR="00BF0781" w:rsidRPr="004752D5" w:rsidRDefault="00BF0781" w:rsidP="00BF0781">
            <w:pPr>
              <w:autoSpaceDE w:val="0"/>
              <w:autoSpaceDN w:val="0"/>
              <w:adjustRightInd w:val="0"/>
              <w:ind w:right="-90"/>
              <w:jc w:val="left"/>
              <w:rPr>
                <w:rFonts w:ascii="GHEA Grapalat" w:hAnsi="GHEA Grapalat" w:cs="Arial"/>
                <w:sz w:val="20"/>
                <w:szCs w:val="20"/>
                <w:lang w:val="hy-AM"/>
              </w:rPr>
            </w:pPr>
            <w:r w:rsidRPr="00095FFE">
              <w:rPr>
                <w:rFonts w:ascii="GHEA Grapalat" w:hAnsi="GHEA Grapalat" w:cs="Arial"/>
                <w:sz w:val="20"/>
                <w:szCs w:val="20"/>
                <w:lang w:val="hy-AM"/>
              </w:rPr>
              <w:t>/նախկին</w:t>
            </w:r>
            <w:r>
              <w:rPr>
                <w:rFonts w:ascii="GHEA Grapalat" w:hAnsi="GHEA Grapalat" w:cs="Arial"/>
                <w:sz w:val="20"/>
                <w:szCs w:val="20"/>
                <w:lang w:val="hy-AM"/>
              </w:rPr>
              <w:t>՝</w:t>
            </w:r>
            <w:r w:rsidRPr="00095FFE">
              <w:rPr>
                <w:rFonts w:ascii="GHEA Grapalat" w:hAnsi="GHEA Grapalat" w:cs="Arial"/>
                <w:sz w:val="20"/>
                <w:szCs w:val="20"/>
                <w:lang w:val="hy-AM"/>
              </w:rPr>
              <w:t xml:space="preserve"> </w:t>
            </w:r>
            <w:r>
              <w:rPr>
                <w:rFonts w:ascii="GHEA Grapalat" w:hAnsi="GHEA Grapalat" w:cs="Arial"/>
                <w:sz w:val="20"/>
                <w:szCs w:val="20"/>
                <w:lang w:val="hy-AM"/>
              </w:rPr>
              <w:t>104/</w:t>
            </w:r>
          </w:p>
        </w:tc>
        <w:tc>
          <w:tcPr>
            <w:tcW w:w="2952" w:type="dxa"/>
          </w:tcPr>
          <w:p w14:paraId="6C4D287B" w14:textId="77777777" w:rsidR="00BF0781" w:rsidRPr="004752D5" w:rsidRDefault="00BF0781" w:rsidP="00BF0781">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Մասնավորեցման ոչ ենթակա պետական մասնակցությամբ առևտրային կազմակերպությունների կազմի և կառուցվածքի օպտիմալացում, ըստ ճյուղերի թվաքանակի սահմանում, ինչպես նաև վնասով, ոչ արդյունավետ և զարգացման հեռանկար չունեցող կազմակերպությունների առանձնացում և մասնավորեցման ծրագրում ընդգրկում</w:t>
            </w:r>
          </w:p>
          <w:p w14:paraId="6716F443" w14:textId="77777777" w:rsidR="00BF0781" w:rsidRPr="004752D5" w:rsidRDefault="00BF0781" w:rsidP="00BF0781">
            <w:pPr>
              <w:autoSpaceDE w:val="0"/>
              <w:autoSpaceDN w:val="0"/>
              <w:adjustRightInd w:val="0"/>
              <w:ind w:right="-90"/>
              <w:jc w:val="left"/>
              <w:rPr>
                <w:rFonts w:ascii="GHEA Grapalat" w:hAnsi="GHEA Grapalat" w:cs="Arial"/>
                <w:sz w:val="20"/>
                <w:szCs w:val="20"/>
                <w:lang w:val="hy-AM"/>
              </w:rPr>
            </w:pPr>
          </w:p>
        </w:tc>
        <w:tc>
          <w:tcPr>
            <w:tcW w:w="3420" w:type="dxa"/>
          </w:tcPr>
          <w:p w14:paraId="76A598A9" w14:textId="5F4A4CAC" w:rsidR="00BF0781" w:rsidRPr="004752D5" w:rsidRDefault="00BF0781" w:rsidP="00BF0781">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 xml:space="preserve"> 103.1 «Հայաստանի Հանրապետության կառավարության 2010 թվականի ապրիլի 29-ի N 474-Ն որոշման մեջ փոփոխություն կատարելու մասին» ՀՀ կառավարության որոշման նախագծի ներկայացումը ՀՀ Վարչապետի աշխատակազմ </w:t>
            </w:r>
          </w:p>
        </w:tc>
        <w:tc>
          <w:tcPr>
            <w:tcW w:w="4500" w:type="dxa"/>
          </w:tcPr>
          <w:p w14:paraId="0F787200" w14:textId="06A876C7" w:rsidR="00BF0781" w:rsidRPr="004752D5" w:rsidRDefault="00BF0781" w:rsidP="00BF0781">
            <w:pPr>
              <w:autoSpaceDE w:val="0"/>
              <w:autoSpaceDN w:val="0"/>
              <w:adjustRightInd w:val="0"/>
              <w:ind w:right="-15"/>
              <w:rPr>
                <w:rFonts w:ascii="GHEA Grapalat" w:hAnsi="GHEA Grapalat" w:cs="Arial"/>
                <w:sz w:val="20"/>
                <w:szCs w:val="20"/>
                <w:lang w:val="hy-AM"/>
              </w:rPr>
            </w:pPr>
            <w:r w:rsidRPr="004752D5">
              <w:rPr>
                <w:rFonts w:ascii="GHEA Grapalat" w:hAnsi="GHEA Grapalat" w:cs="Arial"/>
                <w:sz w:val="20"/>
                <w:szCs w:val="20"/>
                <w:lang w:val="hy-AM"/>
              </w:rPr>
              <w:t xml:space="preserve">Միջոցառման կատարումն ապահովելու նպատակով </w:t>
            </w:r>
            <w:r>
              <w:rPr>
                <w:rFonts w:ascii="GHEA Grapalat" w:hAnsi="GHEA Grapalat" w:cs="Arial"/>
                <w:sz w:val="20"/>
                <w:szCs w:val="20"/>
                <w:lang w:val="hy-AM"/>
              </w:rPr>
              <w:t>Կ</w:t>
            </w:r>
            <w:r w:rsidRPr="004752D5">
              <w:rPr>
                <w:rFonts w:ascii="GHEA Grapalat" w:hAnsi="GHEA Grapalat" w:cs="Arial"/>
                <w:sz w:val="20"/>
                <w:szCs w:val="20"/>
                <w:lang w:val="hy-AM"/>
              </w:rPr>
              <w:t>ոմիտեի կողմից մշակվել և ՀՀ կառավարության կողմից 2023թ. հունիսի 22-ին ընդունվել է թիվ 983-Ն որոշումը։</w:t>
            </w:r>
            <w:r w:rsidRPr="004752D5">
              <w:rPr>
                <w:rFonts w:ascii="Calibri" w:hAnsi="Calibri" w:cs="Calibri"/>
                <w:sz w:val="20"/>
                <w:szCs w:val="20"/>
                <w:lang w:val="hy-AM"/>
              </w:rPr>
              <w:t> </w:t>
            </w:r>
          </w:p>
          <w:p w14:paraId="49DE81EE" w14:textId="1ABA2545" w:rsidR="00BF0781" w:rsidRPr="004752D5" w:rsidRDefault="00BF0781" w:rsidP="00BF0781">
            <w:pPr>
              <w:autoSpaceDE w:val="0"/>
              <w:autoSpaceDN w:val="0"/>
              <w:adjustRightInd w:val="0"/>
              <w:ind w:right="-15"/>
              <w:rPr>
                <w:rFonts w:ascii="GHEA Grapalat" w:hAnsi="GHEA Grapalat" w:cs="Arial"/>
                <w:sz w:val="20"/>
                <w:szCs w:val="20"/>
                <w:lang w:val="hy-AM"/>
              </w:rPr>
            </w:pPr>
            <w:r w:rsidRPr="004752D5">
              <w:rPr>
                <w:rFonts w:ascii="GHEA Grapalat" w:hAnsi="GHEA Grapalat" w:cs="Arial"/>
                <w:sz w:val="20"/>
                <w:szCs w:val="20"/>
                <w:lang w:val="hy-AM"/>
              </w:rPr>
              <w:t>Միաժամանակ ՀՀ կառավարության 05.10.2017թ. թիվ 1262-Ն որոշման համաձայն՝ պետական գույքի կառավարման կոմիտեի կողմից 2023թ. տարեկան տվյալների հիման վրա իրականացված ֆինանսատնտեսական մոնիտորինգի ընթացքում վնաս ձևավորած, 2023թ</w:t>
            </w:r>
            <w:r w:rsidRPr="004752D5">
              <w:rPr>
                <w:rFonts w:ascii="MS Mincho" w:eastAsia="MS Mincho" w:hAnsi="MS Mincho" w:cs="MS Mincho" w:hint="eastAsia"/>
                <w:sz w:val="20"/>
                <w:szCs w:val="20"/>
                <w:lang w:val="hy-AM"/>
              </w:rPr>
              <w:t>․</w:t>
            </w:r>
            <w:r w:rsidRPr="004752D5">
              <w:rPr>
                <w:rFonts w:ascii="GHEA Grapalat" w:hAnsi="GHEA Grapalat" w:cs="Arial"/>
                <w:sz w:val="20"/>
                <w:szCs w:val="20"/>
                <w:lang w:val="hy-AM"/>
              </w:rPr>
              <w:t xml:space="preserve"> շահույթ ձևավորած, սակայն 2022թ. ինչպես նաև շահույթ/վնաս չձևավորած առևտրային կազմակերպությունների ֆինանսատնտեսական վիճակի վատթարացման  վերաբերյալ պետական կառավարման մարմինների կողմից ներկայացված պարզաբանումների հիման վրա Կոմիտեի կողմից մշակվել են կազմակերպությունների գործունեության բարելավմանն ուղղված առաջարկություններ, այդ թվում մասնավորեցման ներկայացնելու վերաբերյալ։</w:t>
            </w:r>
          </w:p>
        </w:tc>
        <w:tc>
          <w:tcPr>
            <w:tcW w:w="2610" w:type="dxa"/>
          </w:tcPr>
          <w:p w14:paraId="2D8C5C98" w14:textId="291D4788" w:rsidR="00BF0781" w:rsidRPr="00A60DC2" w:rsidRDefault="00E54710" w:rsidP="00BF0781">
            <w:pPr>
              <w:autoSpaceDE w:val="0"/>
              <w:autoSpaceDN w:val="0"/>
              <w:adjustRightInd w:val="0"/>
              <w:ind w:right="-90"/>
              <w:jc w:val="left"/>
              <w:rPr>
                <w:rFonts w:ascii="GHEA Grapalat" w:hAnsi="GHEA Grapalat" w:cs="Arial"/>
                <w:sz w:val="20"/>
                <w:szCs w:val="20"/>
                <w:lang w:val="hy-AM"/>
              </w:rPr>
            </w:pPr>
            <w:r>
              <w:rPr>
                <w:rFonts w:ascii="GHEA Grapalat" w:hAnsi="GHEA Grapalat" w:cs="Arial"/>
                <w:sz w:val="20"/>
                <w:szCs w:val="20"/>
                <w:lang w:val="hy-AM"/>
              </w:rPr>
              <w:t>Մ</w:t>
            </w:r>
            <w:r w:rsidR="00BF0781" w:rsidRPr="00A60DC2">
              <w:rPr>
                <w:rFonts w:ascii="GHEA Grapalat" w:hAnsi="GHEA Grapalat" w:cs="Arial"/>
                <w:sz w:val="20"/>
                <w:szCs w:val="20"/>
                <w:lang w:val="hy-AM"/>
              </w:rPr>
              <w:t>ինչև 2024 թվականի նոյեմբերի</w:t>
            </w:r>
            <w:r w:rsidR="00BF0781">
              <w:rPr>
                <w:rFonts w:ascii="GHEA Grapalat" w:hAnsi="GHEA Grapalat" w:cs="Arial"/>
                <w:sz w:val="20"/>
                <w:szCs w:val="20"/>
                <w:lang w:val="hy-AM"/>
              </w:rPr>
              <w:t xml:space="preserve"> </w:t>
            </w:r>
            <w:r w:rsidR="00BF0781" w:rsidRPr="00A60DC2">
              <w:rPr>
                <w:rFonts w:ascii="GHEA Grapalat" w:hAnsi="GHEA Grapalat" w:cs="Arial"/>
                <w:sz w:val="20"/>
                <w:szCs w:val="20"/>
                <w:lang w:val="hy-AM"/>
              </w:rPr>
              <w:t>1-ին տասնօրյակ</w:t>
            </w:r>
            <w:r w:rsidR="00BF0781">
              <w:rPr>
                <w:rFonts w:ascii="GHEA Grapalat" w:hAnsi="GHEA Grapalat" w:cs="Arial"/>
                <w:sz w:val="20"/>
                <w:szCs w:val="20"/>
                <w:lang w:val="hy-AM"/>
              </w:rPr>
              <w:t>։</w:t>
            </w:r>
          </w:p>
          <w:p w14:paraId="782B6F15" w14:textId="6A74646F" w:rsidR="00BF0781" w:rsidRPr="004752D5" w:rsidRDefault="0075437A" w:rsidP="00BF0781">
            <w:pPr>
              <w:autoSpaceDE w:val="0"/>
              <w:autoSpaceDN w:val="0"/>
              <w:adjustRightInd w:val="0"/>
              <w:ind w:right="-90"/>
              <w:jc w:val="left"/>
              <w:rPr>
                <w:rFonts w:ascii="GHEA Grapalat" w:hAnsi="GHEA Grapalat" w:cs="Arial"/>
                <w:sz w:val="20"/>
                <w:szCs w:val="20"/>
                <w:lang w:val="hy-AM"/>
              </w:rPr>
            </w:pPr>
            <w:r>
              <w:rPr>
                <w:rFonts w:ascii="GHEA Grapalat" w:hAnsi="GHEA Grapalat" w:cs="Arial"/>
                <w:sz w:val="20"/>
                <w:szCs w:val="20"/>
                <w:lang w:val="hy-AM"/>
              </w:rPr>
              <w:t>Կատարվել է սահմանված ժամկետում</w:t>
            </w:r>
            <w:r w:rsidR="002F770C">
              <w:rPr>
                <w:rFonts w:ascii="GHEA Grapalat" w:hAnsi="GHEA Grapalat" w:cs="Arial"/>
                <w:sz w:val="20"/>
                <w:szCs w:val="20"/>
                <w:lang w:val="hy-AM"/>
              </w:rPr>
              <w:t>։</w:t>
            </w:r>
          </w:p>
        </w:tc>
        <w:tc>
          <w:tcPr>
            <w:tcW w:w="1332" w:type="dxa"/>
          </w:tcPr>
          <w:p w14:paraId="355180D9" w14:textId="77777777" w:rsidR="00BF0781" w:rsidRPr="004752D5" w:rsidRDefault="00BF0781" w:rsidP="00BF0781">
            <w:pPr>
              <w:autoSpaceDE w:val="0"/>
              <w:autoSpaceDN w:val="0"/>
              <w:adjustRightInd w:val="0"/>
              <w:ind w:right="-90"/>
              <w:jc w:val="left"/>
              <w:rPr>
                <w:rFonts w:ascii="GHEA Grapalat" w:hAnsi="GHEA Grapalat" w:cs="Arial"/>
                <w:sz w:val="20"/>
                <w:szCs w:val="20"/>
                <w:lang w:val="hy-AM"/>
              </w:rPr>
            </w:pPr>
          </w:p>
        </w:tc>
      </w:tr>
      <w:tr w:rsidR="00BF0781" w:rsidRPr="000640AE" w14:paraId="1EB28CAA" w14:textId="77777777" w:rsidTr="009027C9">
        <w:tc>
          <w:tcPr>
            <w:tcW w:w="648" w:type="dxa"/>
          </w:tcPr>
          <w:p w14:paraId="515DEEEE" w14:textId="28C616AC" w:rsidR="00BF0781" w:rsidRPr="004752D5" w:rsidRDefault="00BF0781" w:rsidP="00BF0781">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104</w:t>
            </w:r>
            <w:r w:rsidRPr="004752D5">
              <w:rPr>
                <w:rFonts w:ascii="MS Mincho" w:eastAsia="MS Mincho" w:hAnsi="MS Mincho" w:cs="MS Mincho" w:hint="eastAsia"/>
                <w:sz w:val="20"/>
                <w:szCs w:val="20"/>
                <w:lang w:val="hy-AM"/>
              </w:rPr>
              <w:t>․</w:t>
            </w:r>
          </w:p>
          <w:p w14:paraId="12A35D94" w14:textId="4B4D4B58" w:rsidR="00BF0781" w:rsidRPr="004752D5" w:rsidRDefault="00BF0781" w:rsidP="00BF0781">
            <w:pPr>
              <w:autoSpaceDE w:val="0"/>
              <w:autoSpaceDN w:val="0"/>
              <w:adjustRightInd w:val="0"/>
              <w:ind w:right="-90"/>
              <w:jc w:val="left"/>
              <w:rPr>
                <w:rFonts w:ascii="GHEA Grapalat" w:hAnsi="GHEA Grapalat" w:cs="Arial"/>
                <w:sz w:val="20"/>
                <w:szCs w:val="20"/>
                <w:lang w:val="hy-AM"/>
              </w:rPr>
            </w:pPr>
            <w:r w:rsidRPr="00095FFE">
              <w:rPr>
                <w:rFonts w:ascii="GHEA Grapalat" w:hAnsi="GHEA Grapalat" w:cs="Arial"/>
                <w:sz w:val="20"/>
                <w:szCs w:val="20"/>
                <w:lang w:val="hy-AM"/>
              </w:rPr>
              <w:t>/նախ</w:t>
            </w:r>
            <w:r w:rsidRPr="00095FFE">
              <w:rPr>
                <w:rFonts w:ascii="GHEA Grapalat" w:hAnsi="GHEA Grapalat" w:cs="Arial"/>
                <w:sz w:val="20"/>
                <w:szCs w:val="20"/>
                <w:lang w:val="hy-AM"/>
              </w:rPr>
              <w:lastRenderedPageBreak/>
              <w:t>կին</w:t>
            </w:r>
            <w:r>
              <w:rPr>
                <w:rFonts w:ascii="GHEA Grapalat" w:hAnsi="GHEA Grapalat" w:cs="Arial"/>
                <w:sz w:val="20"/>
                <w:szCs w:val="20"/>
                <w:lang w:val="hy-AM"/>
              </w:rPr>
              <w:t>՝</w:t>
            </w:r>
            <w:r w:rsidRPr="00095FFE">
              <w:rPr>
                <w:rFonts w:ascii="GHEA Grapalat" w:hAnsi="GHEA Grapalat" w:cs="Arial"/>
                <w:sz w:val="20"/>
                <w:szCs w:val="20"/>
                <w:lang w:val="hy-AM"/>
              </w:rPr>
              <w:t xml:space="preserve"> </w:t>
            </w:r>
            <w:r>
              <w:rPr>
                <w:rFonts w:ascii="GHEA Grapalat" w:hAnsi="GHEA Grapalat" w:cs="Arial"/>
                <w:sz w:val="20"/>
                <w:szCs w:val="20"/>
                <w:lang w:val="hy-AM"/>
              </w:rPr>
              <w:t>105/</w:t>
            </w:r>
          </w:p>
        </w:tc>
        <w:tc>
          <w:tcPr>
            <w:tcW w:w="2952" w:type="dxa"/>
          </w:tcPr>
          <w:p w14:paraId="2049AD3E" w14:textId="4BFC0FC7" w:rsidR="00BF0781" w:rsidRPr="004752D5" w:rsidRDefault="00BF0781" w:rsidP="00BF0781">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lastRenderedPageBreak/>
              <w:t xml:space="preserve">Պետական գույքի կառավարման </w:t>
            </w:r>
            <w:r w:rsidRPr="004752D5">
              <w:rPr>
                <w:rFonts w:ascii="GHEA Grapalat" w:hAnsi="GHEA Grapalat" w:cs="Arial"/>
                <w:sz w:val="20"/>
                <w:szCs w:val="20"/>
                <w:lang w:val="hy-AM"/>
              </w:rPr>
              <w:lastRenderedPageBreak/>
              <w:t>արդյունավետությունը բարձրացնելու նպատակով բարելավման կարիք ունեցող և հետագայում օտարման ոչ ենթակա, որպես պետական սեփականություն պահպանվող գույքի առանձնացում, և որոշակի ներդրումային ծրագրերի իրականացման դիմաց երկարատև վարձակալության և անհատույց օգտագործման տրամադրման միջոցով տվյալ գույքի հիմնանորոգման և վերակառուցման ապահովում</w:t>
            </w:r>
          </w:p>
        </w:tc>
        <w:tc>
          <w:tcPr>
            <w:tcW w:w="3420" w:type="dxa"/>
          </w:tcPr>
          <w:p w14:paraId="4587D906" w14:textId="7A2F2A39" w:rsidR="00BF0781" w:rsidRPr="004752D5" w:rsidRDefault="00BF0781" w:rsidP="00BF0781">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lastRenderedPageBreak/>
              <w:t xml:space="preserve">104.1 Բարելավման կարիք ունեցող մինչև տասը միավոր պետական </w:t>
            </w:r>
            <w:r w:rsidRPr="004752D5">
              <w:rPr>
                <w:rFonts w:ascii="GHEA Grapalat" w:hAnsi="GHEA Grapalat" w:cs="Arial"/>
                <w:sz w:val="20"/>
                <w:szCs w:val="20"/>
                <w:lang w:val="hy-AM"/>
              </w:rPr>
              <w:lastRenderedPageBreak/>
              <w:t>անշարժ գույքի` ներդրումների իրականացման դիմաց երկարատև վարձակալության կամ որոշակի ժամկետով անհատույց օգտագործման տրամադրում</w:t>
            </w:r>
          </w:p>
        </w:tc>
        <w:tc>
          <w:tcPr>
            <w:tcW w:w="4500" w:type="dxa"/>
          </w:tcPr>
          <w:p w14:paraId="419D5927" w14:textId="77777777" w:rsidR="00BF0781" w:rsidRDefault="00BF0781" w:rsidP="00BF0781">
            <w:pPr>
              <w:autoSpaceDE w:val="0"/>
              <w:autoSpaceDN w:val="0"/>
              <w:adjustRightInd w:val="0"/>
              <w:ind w:right="-15"/>
              <w:rPr>
                <w:rFonts w:ascii="GHEA Grapalat" w:hAnsi="GHEA Grapalat" w:cs="Arial"/>
                <w:sz w:val="20"/>
                <w:szCs w:val="20"/>
                <w:lang w:val="hy-AM"/>
              </w:rPr>
            </w:pPr>
            <w:r w:rsidRPr="004752D5">
              <w:rPr>
                <w:rFonts w:ascii="GHEA Grapalat" w:hAnsi="GHEA Grapalat" w:cs="Arial"/>
                <w:sz w:val="20"/>
                <w:szCs w:val="20"/>
                <w:lang w:val="hy-AM"/>
              </w:rPr>
              <w:lastRenderedPageBreak/>
              <w:t xml:space="preserve">2024 թվականին վարձակալությամբ է տրամադրվել Աբովյան 3 հասցեում գտնվող </w:t>
            </w:r>
            <w:r w:rsidRPr="004752D5">
              <w:rPr>
                <w:rFonts w:ascii="GHEA Grapalat" w:hAnsi="GHEA Grapalat" w:cs="Arial"/>
                <w:sz w:val="20"/>
                <w:szCs w:val="20"/>
                <w:lang w:val="hy-AM"/>
              </w:rPr>
              <w:lastRenderedPageBreak/>
              <w:t>գույքը, վարձավճարի չափը կազմում է 16 200 000</w:t>
            </w:r>
            <w:r>
              <w:rPr>
                <w:rFonts w:ascii="GHEA Grapalat" w:hAnsi="GHEA Grapalat" w:cs="Arial"/>
                <w:sz w:val="20"/>
                <w:szCs w:val="20"/>
                <w:lang w:val="hy-AM"/>
              </w:rPr>
              <w:t xml:space="preserve"> ՀՀ դրամ։</w:t>
            </w:r>
          </w:p>
          <w:p w14:paraId="079D892F" w14:textId="6E7924D1" w:rsidR="00BF0781" w:rsidRPr="004752D5" w:rsidRDefault="00BF0781" w:rsidP="00BF0781">
            <w:pPr>
              <w:tabs>
                <w:tab w:val="left" w:pos="9540"/>
                <w:tab w:val="left" w:pos="9810"/>
              </w:tabs>
              <w:autoSpaceDE w:val="0"/>
              <w:autoSpaceDN w:val="0"/>
              <w:adjustRightInd w:val="0"/>
              <w:ind w:right="-15"/>
              <w:rPr>
                <w:rFonts w:ascii="GHEA Grapalat" w:hAnsi="GHEA Grapalat" w:cs="Arial"/>
                <w:sz w:val="20"/>
                <w:szCs w:val="20"/>
                <w:lang w:val="hy-AM"/>
              </w:rPr>
            </w:pPr>
            <w:r w:rsidRPr="004752D5">
              <w:rPr>
                <w:rFonts w:ascii="GHEA Grapalat" w:hAnsi="GHEA Grapalat" w:cs="Arial"/>
                <w:sz w:val="20"/>
                <w:szCs w:val="20"/>
                <w:lang w:val="hy-AM"/>
              </w:rPr>
              <w:t xml:space="preserve">Բարելավման կարիք ունեցող մինչև տասը միավոր պետական անշարժ գույքի` ներդրումների իրականացման դիմաց երկարատև վարձակալության տրամադրման նպատակով Կոմիտեի կողմից մշակված և ընդունված </w:t>
            </w:r>
            <w:r w:rsidR="000640AE">
              <w:rPr>
                <w:rFonts w:ascii="GHEA Grapalat" w:hAnsi="GHEA Grapalat" w:cs="Arial"/>
                <w:sz w:val="20"/>
                <w:szCs w:val="20"/>
                <w:lang w:val="hy-AM"/>
              </w:rPr>
              <w:t>5 իրավական ակտերի</w:t>
            </w:r>
            <w:r w:rsidRPr="004752D5">
              <w:rPr>
                <w:rFonts w:ascii="GHEA Grapalat" w:hAnsi="GHEA Grapalat" w:cs="Arial"/>
                <w:sz w:val="20"/>
                <w:szCs w:val="20"/>
                <w:lang w:val="hy-AM"/>
              </w:rPr>
              <w:t xml:space="preserve"> համաձայն՝ օգտագործողների կողմից նախատեսվում է կատարել ընդհանուր առմամբ 1 </w:t>
            </w:r>
            <w:r w:rsidR="000640AE">
              <w:rPr>
                <w:rFonts w:ascii="GHEA Grapalat" w:hAnsi="GHEA Grapalat" w:cs="Arial"/>
                <w:sz w:val="20"/>
                <w:szCs w:val="20"/>
                <w:lang w:val="hy-AM"/>
              </w:rPr>
              <w:t>302 185 610</w:t>
            </w:r>
            <w:r w:rsidRPr="004752D5">
              <w:rPr>
                <w:rFonts w:ascii="GHEA Grapalat" w:hAnsi="GHEA Grapalat" w:cs="Arial"/>
                <w:sz w:val="20"/>
                <w:szCs w:val="20"/>
                <w:lang w:val="hy-AM"/>
              </w:rPr>
              <w:t xml:space="preserve"> ՀՀ դրամի ներդրում: </w:t>
            </w:r>
          </w:p>
        </w:tc>
        <w:tc>
          <w:tcPr>
            <w:tcW w:w="2610" w:type="dxa"/>
          </w:tcPr>
          <w:p w14:paraId="067A02BC" w14:textId="0F0273D3" w:rsidR="00BF0781" w:rsidRDefault="00BF0781" w:rsidP="00BF0781">
            <w:pPr>
              <w:autoSpaceDE w:val="0"/>
              <w:autoSpaceDN w:val="0"/>
              <w:adjustRightInd w:val="0"/>
              <w:ind w:right="-90"/>
              <w:jc w:val="left"/>
              <w:rPr>
                <w:rFonts w:ascii="GHEA Grapalat" w:hAnsi="GHEA Grapalat" w:cs="Arial"/>
                <w:sz w:val="20"/>
                <w:szCs w:val="20"/>
                <w:lang w:val="hy-AM"/>
              </w:rPr>
            </w:pPr>
            <w:r w:rsidRPr="00A60DC2">
              <w:rPr>
                <w:rFonts w:ascii="GHEA Grapalat" w:hAnsi="GHEA Grapalat" w:cs="Arial"/>
                <w:sz w:val="20"/>
                <w:szCs w:val="20"/>
                <w:lang w:val="hy-AM"/>
              </w:rPr>
              <w:lastRenderedPageBreak/>
              <w:t xml:space="preserve">2022 թվականի դեկտեմբերի 3-րդ </w:t>
            </w:r>
            <w:r w:rsidRPr="00A60DC2">
              <w:rPr>
                <w:rFonts w:ascii="GHEA Grapalat" w:hAnsi="GHEA Grapalat" w:cs="Arial"/>
                <w:sz w:val="20"/>
                <w:szCs w:val="20"/>
                <w:lang w:val="hy-AM"/>
              </w:rPr>
              <w:lastRenderedPageBreak/>
              <w:t>տասնօրյակ։</w:t>
            </w:r>
          </w:p>
          <w:p w14:paraId="41A486EC" w14:textId="0CEFE6C2" w:rsidR="00BF0781" w:rsidRPr="004752D5" w:rsidRDefault="00BF0781" w:rsidP="00BF0781">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Կրում է շարունակական բնույթ</w:t>
            </w:r>
            <w:r w:rsidR="002F770C">
              <w:rPr>
                <w:rFonts w:ascii="GHEA Grapalat" w:hAnsi="GHEA Grapalat" w:cs="Arial"/>
                <w:sz w:val="20"/>
                <w:szCs w:val="20"/>
                <w:lang w:val="hy-AM"/>
              </w:rPr>
              <w:t>։</w:t>
            </w:r>
          </w:p>
        </w:tc>
        <w:tc>
          <w:tcPr>
            <w:tcW w:w="1332" w:type="dxa"/>
          </w:tcPr>
          <w:p w14:paraId="5FD8E413" w14:textId="77777777" w:rsidR="00BF0781" w:rsidRPr="004752D5" w:rsidRDefault="00BF0781" w:rsidP="00BF0781">
            <w:pPr>
              <w:autoSpaceDE w:val="0"/>
              <w:autoSpaceDN w:val="0"/>
              <w:adjustRightInd w:val="0"/>
              <w:ind w:right="-90"/>
              <w:jc w:val="left"/>
              <w:rPr>
                <w:rFonts w:ascii="GHEA Grapalat" w:hAnsi="GHEA Grapalat" w:cs="Arial"/>
                <w:sz w:val="20"/>
                <w:szCs w:val="20"/>
                <w:lang w:val="hy-AM"/>
              </w:rPr>
            </w:pPr>
          </w:p>
        </w:tc>
      </w:tr>
      <w:tr w:rsidR="00BF0781" w:rsidRPr="00D8648A" w14:paraId="02240F26" w14:textId="77777777" w:rsidTr="009027C9">
        <w:tc>
          <w:tcPr>
            <w:tcW w:w="648" w:type="dxa"/>
          </w:tcPr>
          <w:p w14:paraId="7A5EB6B8" w14:textId="055AEE2F" w:rsidR="00BF0781" w:rsidRPr="004752D5" w:rsidRDefault="00BF0781" w:rsidP="00BF0781">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105.</w:t>
            </w:r>
          </w:p>
          <w:p w14:paraId="4060AF28" w14:textId="743CF36E" w:rsidR="00BF0781" w:rsidRPr="004752D5" w:rsidRDefault="00BF0781" w:rsidP="00BF0781">
            <w:pPr>
              <w:autoSpaceDE w:val="0"/>
              <w:autoSpaceDN w:val="0"/>
              <w:adjustRightInd w:val="0"/>
              <w:ind w:right="-90"/>
              <w:jc w:val="left"/>
              <w:rPr>
                <w:rFonts w:ascii="GHEA Grapalat" w:hAnsi="GHEA Grapalat" w:cs="Arial"/>
                <w:sz w:val="20"/>
                <w:szCs w:val="20"/>
                <w:lang w:val="hy-AM"/>
              </w:rPr>
            </w:pPr>
            <w:r w:rsidRPr="00095FFE">
              <w:rPr>
                <w:rFonts w:ascii="GHEA Grapalat" w:hAnsi="GHEA Grapalat" w:cs="Arial"/>
                <w:sz w:val="20"/>
                <w:szCs w:val="20"/>
                <w:lang w:val="hy-AM"/>
              </w:rPr>
              <w:t>/նախկին</w:t>
            </w:r>
            <w:r>
              <w:rPr>
                <w:rFonts w:ascii="GHEA Grapalat" w:hAnsi="GHEA Grapalat" w:cs="Arial"/>
                <w:sz w:val="20"/>
                <w:szCs w:val="20"/>
                <w:lang w:val="hy-AM"/>
              </w:rPr>
              <w:t>՝</w:t>
            </w:r>
            <w:r w:rsidRPr="00095FFE">
              <w:rPr>
                <w:rFonts w:ascii="GHEA Grapalat" w:hAnsi="GHEA Grapalat" w:cs="Arial"/>
                <w:sz w:val="20"/>
                <w:szCs w:val="20"/>
                <w:lang w:val="hy-AM"/>
              </w:rPr>
              <w:t xml:space="preserve"> </w:t>
            </w:r>
            <w:r>
              <w:rPr>
                <w:rFonts w:ascii="GHEA Grapalat" w:hAnsi="GHEA Grapalat" w:cs="Arial"/>
                <w:sz w:val="20"/>
                <w:szCs w:val="20"/>
                <w:lang w:val="hy-AM"/>
              </w:rPr>
              <w:t>106/</w:t>
            </w:r>
          </w:p>
        </w:tc>
        <w:tc>
          <w:tcPr>
            <w:tcW w:w="2952" w:type="dxa"/>
          </w:tcPr>
          <w:p w14:paraId="38684C7B" w14:textId="32E97690" w:rsidR="00BF0781" w:rsidRPr="004752D5" w:rsidRDefault="00BF0781" w:rsidP="00BF0781">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Մարզերում պետություն-համայնքներ գործընկերության բնագավառում ՓՄՁ-ի զարգացում չօգտագործվող կամ ոչ արդյունավետ օգտագործվող, ինչպես նաև նախկինում օտարման ներկայացված, սակայն չվաճառված գույքի առանձնացում, և այդ գույքի ներդրմամբ տարբեր ձևաչափերով տնտեսական նշանակության սոցիալ-տնտեսական բնույթի ներդրումային ծրագրերի իրականացում</w:t>
            </w:r>
            <w:r w:rsidRPr="002C721F">
              <w:rPr>
                <w:rFonts w:ascii="GHEA Grapalat" w:hAnsi="GHEA Grapalat" w:cs="Arial"/>
                <w:sz w:val="20"/>
                <w:szCs w:val="20"/>
                <w:lang w:val="hy-AM"/>
              </w:rPr>
              <w:t>։</w:t>
            </w:r>
            <w:r w:rsidRPr="004752D5">
              <w:rPr>
                <w:rFonts w:ascii="GHEA Grapalat" w:hAnsi="GHEA Grapalat" w:cs="Arial"/>
                <w:sz w:val="20"/>
                <w:szCs w:val="20"/>
                <w:lang w:val="hy-AM"/>
              </w:rPr>
              <w:t xml:space="preserve">    </w:t>
            </w:r>
          </w:p>
        </w:tc>
        <w:tc>
          <w:tcPr>
            <w:tcW w:w="3420" w:type="dxa"/>
          </w:tcPr>
          <w:p w14:paraId="144AE3ED" w14:textId="61CA42FB" w:rsidR="00BF0781" w:rsidRPr="004752D5" w:rsidRDefault="00BF0781" w:rsidP="00BF0781">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105.1 Մարզերում գտնվող չօգտագործվող կամ ոչ արդյունավետ օգտագործվող գույքի ներգրավմամբ տեղական նշանակության սոցիալ- տնտեսական բնույթի ներդրումային ծրագրերի իրականացում, այդ նպատակով մինչև տասը միավոր ոչ բարձր իրացվելիություն ունեցող անշարժ գույքի օտարում, վարձակալության և անհատույց օգտագործման տրամադրում ՀՀ ՏԿԵ նախարարության  և համայնքների օժանդակությամբ</w:t>
            </w:r>
          </w:p>
        </w:tc>
        <w:tc>
          <w:tcPr>
            <w:tcW w:w="4500" w:type="dxa"/>
          </w:tcPr>
          <w:p w14:paraId="3884F901" w14:textId="2EF63A0A" w:rsidR="00BF0781" w:rsidRPr="004752D5" w:rsidRDefault="00BF0781" w:rsidP="00BF0781">
            <w:pPr>
              <w:autoSpaceDE w:val="0"/>
              <w:autoSpaceDN w:val="0"/>
              <w:adjustRightInd w:val="0"/>
              <w:ind w:right="-15"/>
              <w:jc w:val="left"/>
              <w:rPr>
                <w:rFonts w:ascii="GHEA Grapalat" w:hAnsi="GHEA Grapalat" w:cs="Arial"/>
                <w:sz w:val="20"/>
                <w:szCs w:val="20"/>
                <w:lang w:val="hy-AM"/>
              </w:rPr>
            </w:pPr>
            <w:r w:rsidRPr="004752D5">
              <w:rPr>
                <w:rFonts w:ascii="GHEA Grapalat" w:hAnsi="GHEA Grapalat" w:cs="Arial"/>
                <w:sz w:val="20"/>
                <w:szCs w:val="20"/>
                <w:lang w:val="hy-AM"/>
              </w:rPr>
              <w:t xml:space="preserve">ՀՀ մարզերում գտնվող չօգտագործվող կամ ոչ արդյունավետ օգտագործվող գույքի ներգրավմամբ տեղական նշանակության սոցիալ-տնտեսական բնույթի ներդրումային ծրագրերի իրականացման նպատակով </w:t>
            </w:r>
            <w:r>
              <w:rPr>
                <w:rFonts w:ascii="GHEA Grapalat" w:hAnsi="GHEA Grapalat" w:cs="Arial"/>
                <w:sz w:val="20"/>
                <w:szCs w:val="20"/>
                <w:lang w:val="hy-AM"/>
              </w:rPr>
              <w:t xml:space="preserve">6 </w:t>
            </w:r>
            <w:r w:rsidRPr="004752D5">
              <w:rPr>
                <w:rFonts w:ascii="GHEA Grapalat" w:hAnsi="GHEA Grapalat" w:cs="Arial"/>
                <w:sz w:val="20"/>
                <w:szCs w:val="20"/>
                <w:lang w:val="hy-AM"/>
              </w:rPr>
              <w:t>անշարժ գույք</w:t>
            </w:r>
            <w:r>
              <w:rPr>
                <w:rFonts w:ascii="GHEA Grapalat" w:hAnsi="GHEA Grapalat" w:cs="Arial"/>
                <w:sz w:val="20"/>
                <w:szCs w:val="20"/>
                <w:lang w:val="hy-AM"/>
              </w:rPr>
              <w:t xml:space="preserve">ի օտարման վերաբերյալ ընդունվել են </w:t>
            </w:r>
            <w:r w:rsidRPr="004752D5">
              <w:rPr>
                <w:rFonts w:ascii="GHEA Grapalat" w:hAnsi="GHEA Grapalat" w:cs="Arial"/>
                <w:sz w:val="20"/>
                <w:szCs w:val="20"/>
                <w:lang w:val="hy-AM"/>
              </w:rPr>
              <w:t xml:space="preserve"> </w:t>
            </w:r>
            <w:r>
              <w:rPr>
                <w:rFonts w:ascii="GHEA Grapalat" w:hAnsi="GHEA Grapalat" w:cs="Arial"/>
                <w:sz w:val="20"/>
                <w:szCs w:val="20"/>
                <w:lang w:val="hy-AM"/>
              </w:rPr>
              <w:t>ՀՀ կառավարության որոշումներ։ Շրջանառության մեջ են գտնվում 4 անշարժ գույքի օտարման և 1 անհատույց օգտագործման տրամադրման վերաբերյալ ՀՀ կառավարության որոշման նախագծեր։</w:t>
            </w:r>
          </w:p>
          <w:p w14:paraId="1816BB64" w14:textId="77777777" w:rsidR="00BF0781" w:rsidRPr="004752D5" w:rsidRDefault="00BF0781" w:rsidP="00BF0781">
            <w:pPr>
              <w:tabs>
                <w:tab w:val="left" w:pos="9540"/>
                <w:tab w:val="left" w:pos="9810"/>
              </w:tabs>
              <w:autoSpaceDE w:val="0"/>
              <w:autoSpaceDN w:val="0"/>
              <w:adjustRightInd w:val="0"/>
              <w:ind w:right="-15"/>
              <w:rPr>
                <w:rFonts w:ascii="GHEA Grapalat" w:hAnsi="GHEA Grapalat" w:cs="Arial"/>
                <w:sz w:val="20"/>
                <w:szCs w:val="20"/>
                <w:lang w:val="hy-AM"/>
              </w:rPr>
            </w:pPr>
          </w:p>
        </w:tc>
        <w:tc>
          <w:tcPr>
            <w:tcW w:w="2610" w:type="dxa"/>
          </w:tcPr>
          <w:p w14:paraId="437A7775" w14:textId="77777777" w:rsidR="00BF0781" w:rsidRDefault="00BF0781" w:rsidP="00BF0781">
            <w:pPr>
              <w:autoSpaceDE w:val="0"/>
              <w:autoSpaceDN w:val="0"/>
              <w:adjustRightInd w:val="0"/>
              <w:ind w:right="-90"/>
              <w:jc w:val="left"/>
              <w:rPr>
                <w:rFonts w:ascii="GHEA Grapalat" w:hAnsi="GHEA Grapalat" w:cs="Arial"/>
                <w:sz w:val="20"/>
                <w:szCs w:val="20"/>
                <w:lang w:val="hy-AM"/>
              </w:rPr>
            </w:pPr>
            <w:r>
              <w:rPr>
                <w:rFonts w:ascii="GHEA Grapalat" w:hAnsi="GHEA Grapalat" w:cs="Arial"/>
                <w:sz w:val="20"/>
                <w:szCs w:val="20"/>
                <w:lang w:val="hy-AM"/>
              </w:rPr>
              <w:t>Մ</w:t>
            </w:r>
            <w:r w:rsidRPr="004752D5">
              <w:rPr>
                <w:rFonts w:ascii="GHEA Grapalat" w:hAnsi="GHEA Grapalat" w:cs="Arial"/>
                <w:sz w:val="20"/>
                <w:szCs w:val="20"/>
                <w:lang w:val="hy-AM"/>
              </w:rPr>
              <w:t>ինչև 2024 թվականի փետրվարի  1-ին տասնօրյակ</w:t>
            </w:r>
            <w:r>
              <w:rPr>
                <w:rFonts w:ascii="GHEA Grapalat" w:hAnsi="GHEA Grapalat" w:cs="Arial"/>
                <w:sz w:val="20"/>
                <w:szCs w:val="20"/>
                <w:lang w:val="hy-AM"/>
              </w:rPr>
              <w:t>։</w:t>
            </w:r>
            <w:r w:rsidRPr="004752D5">
              <w:rPr>
                <w:rFonts w:ascii="GHEA Grapalat" w:hAnsi="GHEA Grapalat" w:cs="Arial"/>
                <w:sz w:val="20"/>
                <w:szCs w:val="20"/>
                <w:lang w:val="hy-AM"/>
              </w:rPr>
              <w:t xml:space="preserve"> </w:t>
            </w:r>
          </w:p>
          <w:p w14:paraId="3B1F98F6" w14:textId="69020111" w:rsidR="0075437A" w:rsidRPr="004752D5" w:rsidRDefault="0075437A" w:rsidP="00BF0781">
            <w:pPr>
              <w:autoSpaceDE w:val="0"/>
              <w:autoSpaceDN w:val="0"/>
              <w:adjustRightInd w:val="0"/>
              <w:ind w:right="-90"/>
              <w:jc w:val="left"/>
              <w:rPr>
                <w:rFonts w:ascii="GHEA Grapalat" w:hAnsi="GHEA Grapalat" w:cs="Arial"/>
                <w:sz w:val="20"/>
                <w:szCs w:val="20"/>
                <w:lang w:val="hy-AM"/>
              </w:rPr>
            </w:pPr>
            <w:r w:rsidRPr="004752D5">
              <w:rPr>
                <w:rFonts w:ascii="GHEA Grapalat" w:hAnsi="GHEA Grapalat" w:cs="Arial"/>
                <w:sz w:val="20"/>
                <w:szCs w:val="20"/>
                <w:lang w:val="hy-AM"/>
              </w:rPr>
              <w:t>Կրում է շարունակական բնույթ</w:t>
            </w:r>
            <w:r w:rsidR="002F770C">
              <w:rPr>
                <w:rFonts w:ascii="GHEA Grapalat" w:hAnsi="GHEA Grapalat" w:cs="Arial"/>
                <w:sz w:val="20"/>
                <w:szCs w:val="20"/>
                <w:lang w:val="hy-AM"/>
              </w:rPr>
              <w:t>։</w:t>
            </w:r>
          </w:p>
        </w:tc>
        <w:tc>
          <w:tcPr>
            <w:tcW w:w="1332" w:type="dxa"/>
          </w:tcPr>
          <w:p w14:paraId="463BE098" w14:textId="77777777" w:rsidR="00BF0781" w:rsidRPr="004752D5" w:rsidRDefault="00BF0781" w:rsidP="00BF0781">
            <w:pPr>
              <w:autoSpaceDE w:val="0"/>
              <w:autoSpaceDN w:val="0"/>
              <w:adjustRightInd w:val="0"/>
              <w:ind w:right="-90"/>
              <w:jc w:val="left"/>
              <w:rPr>
                <w:rFonts w:ascii="GHEA Grapalat" w:hAnsi="GHEA Grapalat" w:cs="Arial"/>
                <w:sz w:val="20"/>
                <w:szCs w:val="20"/>
                <w:lang w:val="hy-AM"/>
              </w:rPr>
            </w:pPr>
          </w:p>
        </w:tc>
      </w:tr>
    </w:tbl>
    <w:p w14:paraId="3C65D5CF" w14:textId="77777777" w:rsidR="00DC5F7D" w:rsidRPr="00802660" w:rsidRDefault="00DC5F7D" w:rsidP="002A06F1">
      <w:pPr>
        <w:autoSpaceDE w:val="0"/>
        <w:autoSpaceDN w:val="0"/>
        <w:adjustRightInd w:val="0"/>
        <w:spacing w:line="240" w:lineRule="auto"/>
        <w:ind w:right="-90"/>
        <w:jc w:val="left"/>
        <w:rPr>
          <w:rFonts w:ascii="GHEA Grapalat" w:hAnsi="GHEA Grapalat" w:cs="CIDFont+F9"/>
          <w:b/>
          <w:sz w:val="20"/>
          <w:szCs w:val="20"/>
          <w:lang w:val="hy-AM"/>
        </w:rPr>
      </w:pPr>
    </w:p>
    <w:sectPr w:rsidR="00DC5F7D" w:rsidRPr="00802660" w:rsidSect="008D46BF">
      <w:pgSz w:w="15840" w:h="12240" w:orient="landscape"/>
      <w:pgMar w:top="270" w:right="360" w:bottom="108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IDFont+F9">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342B7"/>
    <w:rsid w:val="00004EA4"/>
    <w:rsid w:val="00014E41"/>
    <w:rsid w:val="0002562E"/>
    <w:rsid w:val="00040721"/>
    <w:rsid w:val="00060665"/>
    <w:rsid w:val="00061F8E"/>
    <w:rsid w:val="000640AE"/>
    <w:rsid w:val="00095FFE"/>
    <w:rsid w:val="00096F10"/>
    <w:rsid w:val="000A4E43"/>
    <w:rsid w:val="000A6338"/>
    <w:rsid w:val="000B3621"/>
    <w:rsid w:val="000C2577"/>
    <w:rsid w:val="000E0C05"/>
    <w:rsid w:val="000F464B"/>
    <w:rsid w:val="0011380D"/>
    <w:rsid w:val="001214E6"/>
    <w:rsid w:val="00133B5A"/>
    <w:rsid w:val="00133E56"/>
    <w:rsid w:val="00136A4E"/>
    <w:rsid w:val="00143674"/>
    <w:rsid w:val="00181720"/>
    <w:rsid w:val="001A5192"/>
    <w:rsid w:val="001B2349"/>
    <w:rsid w:val="001B3889"/>
    <w:rsid w:val="001B501A"/>
    <w:rsid w:val="001D043E"/>
    <w:rsid w:val="001E3EE5"/>
    <w:rsid w:val="001F116D"/>
    <w:rsid w:val="0020759C"/>
    <w:rsid w:val="00241BAF"/>
    <w:rsid w:val="002678EF"/>
    <w:rsid w:val="00273E9C"/>
    <w:rsid w:val="00290727"/>
    <w:rsid w:val="002A06F1"/>
    <w:rsid w:val="002A207C"/>
    <w:rsid w:val="002A4DDC"/>
    <w:rsid w:val="002A5538"/>
    <w:rsid w:val="002B3010"/>
    <w:rsid w:val="002B4EA0"/>
    <w:rsid w:val="002C63CE"/>
    <w:rsid w:val="002C721F"/>
    <w:rsid w:val="002D2493"/>
    <w:rsid w:val="002F4B70"/>
    <w:rsid w:val="002F770C"/>
    <w:rsid w:val="00305AC2"/>
    <w:rsid w:val="00307315"/>
    <w:rsid w:val="00310A4E"/>
    <w:rsid w:val="00314A98"/>
    <w:rsid w:val="0031552B"/>
    <w:rsid w:val="00336AD8"/>
    <w:rsid w:val="003421FE"/>
    <w:rsid w:val="003706B7"/>
    <w:rsid w:val="00377C5B"/>
    <w:rsid w:val="00382951"/>
    <w:rsid w:val="0038703D"/>
    <w:rsid w:val="00390191"/>
    <w:rsid w:val="00391E18"/>
    <w:rsid w:val="003A249B"/>
    <w:rsid w:val="003A2E47"/>
    <w:rsid w:val="003D4B34"/>
    <w:rsid w:val="003E2267"/>
    <w:rsid w:val="003F07B6"/>
    <w:rsid w:val="003F3757"/>
    <w:rsid w:val="004152C2"/>
    <w:rsid w:val="00416EA6"/>
    <w:rsid w:val="00432D12"/>
    <w:rsid w:val="00445F37"/>
    <w:rsid w:val="0046034A"/>
    <w:rsid w:val="004752D5"/>
    <w:rsid w:val="00475ADF"/>
    <w:rsid w:val="00487196"/>
    <w:rsid w:val="00494DF0"/>
    <w:rsid w:val="004B016D"/>
    <w:rsid w:val="004B0A92"/>
    <w:rsid w:val="004D304F"/>
    <w:rsid w:val="004D34AB"/>
    <w:rsid w:val="004F77EF"/>
    <w:rsid w:val="0050797E"/>
    <w:rsid w:val="00512E8A"/>
    <w:rsid w:val="00562D79"/>
    <w:rsid w:val="0057308D"/>
    <w:rsid w:val="005758A1"/>
    <w:rsid w:val="00577239"/>
    <w:rsid w:val="0058372D"/>
    <w:rsid w:val="00591FDC"/>
    <w:rsid w:val="005961AA"/>
    <w:rsid w:val="005A4F8F"/>
    <w:rsid w:val="00604C25"/>
    <w:rsid w:val="0061742B"/>
    <w:rsid w:val="00626BB5"/>
    <w:rsid w:val="00635726"/>
    <w:rsid w:val="006645C3"/>
    <w:rsid w:val="006650F3"/>
    <w:rsid w:val="006753E2"/>
    <w:rsid w:val="00691371"/>
    <w:rsid w:val="006B05F7"/>
    <w:rsid w:val="006D6779"/>
    <w:rsid w:val="006E0ED8"/>
    <w:rsid w:val="006E710B"/>
    <w:rsid w:val="00705695"/>
    <w:rsid w:val="00753E79"/>
    <w:rsid w:val="0075437A"/>
    <w:rsid w:val="00754E28"/>
    <w:rsid w:val="007619F4"/>
    <w:rsid w:val="00764BAB"/>
    <w:rsid w:val="00777C70"/>
    <w:rsid w:val="00780F8B"/>
    <w:rsid w:val="00785EE9"/>
    <w:rsid w:val="007A61DB"/>
    <w:rsid w:val="007B51FB"/>
    <w:rsid w:val="007D0621"/>
    <w:rsid w:val="007D7085"/>
    <w:rsid w:val="007F60C3"/>
    <w:rsid w:val="00802660"/>
    <w:rsid w:val="008159D6"/>
    <w:rsid w:val="0082707A"/>
    <w:rsid w:val="0086371F"/>
    <w:rsid w:val="00871C3B"/>
    <w:rsid w:val="00875580"/>
    <w:rsid w:val="00885EFC"/>
    <w:rsid w:val="00886460"/>
    <w:rsid w:val="008978B0"/>
    <w:rsid w:val="008A2A52"/>
    <w:rsid w:val="008A301A"/>
    <w:rsid w:val="008B0534"/>
    <w:rsid w:val="008B2A8F"/>
    <w:rsid w:val="008B72B3"/>
    <w:rsid w:val="008C2D52"/>
    <w:rsid w:val="008D46BF"/>
    <w:rsid w:val="008D661E"/>
    <w:rsid w:val="008E193F"/>
    <w:rsid w:val="008F5C46"/>
    <w:rsid w:val="009027C9"/>
    <w:rsid w:val="00903139"/>
    <w:rsid w:val="00903FC4"/>
    <w:rsid w:val="00912EB4"/>
    <w:rsid w:val="00945490"/>
    <w:rsid w:val="00963A10"/>
    <w:rsid w:val="009C1323"/>
    <w:rsid w:val="009D1AED"/>
    <w:rsid w:val="009D42E8"/>
    <w:rsid w:val="009F3D50"/>
    <w:rsid w:val="00A026CE"/>
    <w:rsid w:val="00A03481"/>
    <w:rsid w:val="00A06C1E"/>
    <w:rsid w:val="00A21299"/>
    <w:rsid w:val="00A238AC"/>
    <w:rsid w:val="00A305C6"/>
    <w:rsid w:val="00A329E5"/>
    <w:rsid w:val="00A342B7"/>
    <w:rsid w:val="00A433CA"/>
    <w:rsid w:val="00A539A5"/>
    <w:rsid w:val="00A56906"/>
    <w:rsid w:val="00A60DC2"/>
    <w:rsid w:val="00A71742"/>
    <w:rsid w:val="00A80E13"/>
    <w:rsid w:val="00A87366"/>
    <w:rsid w:val="00A94129"/>
    <w:rsid w:val="00AA1A28"/>
    <w:rsid w:val="00AB5B2B"/>
    <w:rsid w:val="00AC253E"/>
    <w:rsid w:val="00AC37EA"/>
    <w:rsid w:val="00AC427B"/>
    <w:rsid w:val="00AD0E48"/>
    <w:rsid w:val="00AF41DB"/>
    <w:rsid w:val="00B018B3"/>
    <w:rsid w:val="00B06D08"/>
    <w:rsid w:val="00B2185D"/>
    <w:rsid w:val="00B340EA"/>
    <w:rsid w:val="00B53C44"/>
    <w:rsid w:val="00B63503"/>
    <w:rsid w:val="00B92834"/>
    <w:rsid w:val="00BB4EDE"/>
    <w:rsid w:val="00BB7C74"/>
    <w:rsid w:val="00BC021F"/>
    <w:rsid w:val="00BE2E6E"/>
    <w:rsid w:val="00BE6B4D"/>
    <w:rsid w:val="00BF0781"/>
    <w:rsid w:val="00C25CE0"/>
    <w:rsid w:val="00C30670"/>
    <w:rsid w:val="00C327B2"/>
    <w:rsid w:val="00C348B4"/>
    <w:rsid w:val="00C36099"/>
    <w:rsid w:val="00C410E0"/>
    <w:rsid w:val="00C43DDB"/>
    <w:rsid w:val="00C45ACF"/>
    <w:rsid w:val="00C63FB1"/>
    <w:rsid w:val="00C66F27"/>
    <w:rsid w:val="00C7316A"/>
    <w:rsid w:val="00CA097F"/>
    <w:rsid w:val="00CA7B3A"/>
    <w:rsid w:val="00CB7EC9"/>
    <w:rsid w:val="00CD3140"/>
    <w:rsid w:val="00CE5E29"/>
    <w:rsid w:val="00D205FC"/>
    <w:rsid w:val="00D225D1"/>
    <w:rsid w:val="00D259EE"/>
    <w:rsid w:val="00D4702F"/>
    <w:rsid w:val="00D665C9"/>
    <w:rsid w:val="00D77464"/>
    <w:rsid w:val="00D83556"/>
    <w:rsid w:val="00D8648A"/>
    <w:rsid w:val="00D86759"/>
    <w:rsid w:val="00D947BC"/>
    <w:rsid w:val="00D97DBB"/>
    <w:rsid w:val="00DA1713"/>
    <w:rsid w:val="00DA325E"/>
    <w:rsid w:val="00DC17BA"/>
    <w:rsid w:val="00DC5F7D"/>
    <w:rsid w:val="00DD7BD7"/>
    <w:rsid w:val="00DE1E22"/>
    <w:rsid w:val="00DE204F"/>
    <w:rsid w:val="00DE2DDA"/>
    <w:rsid w:val="00DF0E73"/>
    <w:rsid w:val="00E02E97"/>
    <w:rsid w:val="00E13321"/>
    <w:rsid w:val="00E23FA1"/>
    <w:rsid w:val="00E34B10"/>
    <w:rsid w:val="00E4121B"/>
    <w:rsid w:val="00E439CA"/>
    <w:rsid w:val="00E54710"/>
    <w:rsid w:val="00E76B70"/>
    <w:rsid w:val="00EA7812"/>
    <w:rsid w:val="00ED213F"/>
    <w:rsid w:val="00ED51BA"/>
    <w:rsid w:val="00EE0C87"/>
    <w:rsid w:val="00EE44B0"/>
    <w:rsid w:val="00F000C5"/>
    <w:rsid w:val="00F15A5B"/>
    <w:rsid w:val="00F20771"/>
    <w:rsid w:val="00F22F9A"/>
    <w:rsid w:val="00F309FD"/>
    <w:rsid w:val="00F4671C"/>
    <w:rsid w:val="00F50674"/>
    <w:rsid w:val="00F51715"/>
    <w:rsid w:val="00FC4261"/>
    <w:rsid w:val="00FD3A6F"/>
    <w:rsid w:val="00FE0BDB"/>
    <w:rsid w:val="00FF0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6D69D"/>
  <w15:docId w15:val="{7DDA2A90-8862-4FD9-8964-0EC0ADBB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3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F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h,Header Char Char Char Char,Header Char Char Char,Header Char Char,Header Char Char Char Char Char Char Char Char Char Char,Header Char Char Char Char Char Char Char Char Char Char Char Char"/>
    <w:basedOn w:val="a"/>
    <w:link w:val="a5"/>
    <w:unhideWhenUsed/>
    <w:qFormat/>
    <w:rsid w:val="00F309FD"/>
    <w:pPr>
      <w:tabs>
        <w:tab w:val="center" w:pos="4680"/>
        <w:tab w:val="right" w:pos="9360"/>
      </w:tabs>
      <w:spacing w:line="240" w:lineRule="auto"/>
      <w:jc w:val="left"/>
    </w:pPr>
    <w:rPr>
      <w:rFonts w:ascii="Calibri" w:eastAsia="Calibri" w:hAnsi="Calibri" w:cs="Calibri"/>
      <w:lang w:val="hy-AM"/>
    </w:rPr>
  </w:style>
  <w:style w:type="character" w:customStyle="1" w:styleId="a5">
    <w:name w:val="Верхний колонтитул Знак"/>
    <w:aliases w:val="h Знак,Header Char Char Char Char Знак,Header Char Char Char Знак,Header Char Char Знак,Header Char Char Char Char Char Char Char Char Char Char Знак,Header Char Char Char Char Char Char Char Char Char Char Char Char Знак"/>
    <w:basedOn w:val="a0"/>
    <w:link w:val="a4"/>
    <w:rsid w:val="00F309FD"/>
    <w:rPr>
      <w:rFonts w:ascii="Calibri" w:eastAsia="Calibri" w:hAnsi="Calibri" w:cs="Calibri"/>
      <w:lang w:val="hy-AM"/>
    </w:rPr>
  </w:style>
  <w:style w:type="paragraph" w:styleId="a6">
    <w:name w:val="annotation text"/>
    <w:basedOn w:val="a"/>
    <w:link w:val="a7"/>
    <w:uiPriority w:val="99"/>
    <w:unhideWhenUsed/>
    <w:rsid w:val="00377C5B"/>
    <w:pPr>
      <w:spacing w:after="160" w:line="240" w:lineRule="auto"/>
      <w:jc w:val="left"/>
    </w:pPr>
    <w:rPr>
      <w:sz w:val="20"/>
      <w:szCs w:val="20"/>
    </w:rPr>
  </w:style>
  <w:style w:type="character" w:customStyle="1" w:styleId="a7">
    <w:name w:val="Текст примечания Знак"/>
    <w:basedOn w:val="a0"/>
    <w:link w:val="a6"/>
    <w:uiPriority w:val="99"/>
    <w:rsid w:val="00377C5B"/>
    <w:rPr>
      <w:sz w:val="20"/>
      <w:szCs w:val="20"/>
    </w:rPr>
  </w:style>
  <w:style w:type="paragraph" w:styleId="a8">
    <w:name w:val="Normal (Web)"/>
    <w:basedOn w:val="a"/>
    <w:uiPriority w:val="99"/>
    <w:semiHidden/>
    <w:unhideWhenUsed/>
    <w:rsid w:val="0086371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809973">
      <w:bodyDiv w:val="1"/>
      <w:marLeft w:val="0"/>
      <w:marRight w:val="0"/>
      <w:marTop w:val="0"/>
      <w:marBottom w:val="0"/>
      <w:divBdr>
        <w:top w:val="none" w:sz="0" w:space="0" w:color="auto"/>
        <w:left w:val="none" w:sz="0" w:space="0" w:color="auto"/>
        <w:bottom w:val="none" w:sz="0" w:space="0" w:color="auto"/>
        <w:right w:val="none" w:sz="0" w:space="0" w:color="auto"/>
      </w:divBdr>
    </w:div>
    <w:div w:id="171207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1904C-D287-41D8-B622-E64059590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9</Pages>
  <Words>2808</Words>
  <Characters>16009</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dc:creator>
  <cp:keywords>https://mul2-spm.gov.am/tasks/451556/oneclick?token=358648efc9b3cc58fed6c626fa9d188c</cp:keywords>
  <dc:description/>
  <cp:lastModifiedBy>User</cp:lastModifiedBy>
  <cp:revision>222</cp:revision>
  <cp:lastPrinted>2025-01-13T11:31:00Z</cp:lastPrinted>
  <dcterms:created xsi:type="dcterms:W3CDTF">2024-02-05T07:01:00Z</dcterms:created>
  <dcterms:modified xsi:type="dcterms:W3CDTF">2025-01-13T13:29:00Z</dcterms:modified>
</cp:coreProperties>
</file>