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F77A" w14:textId="77777777" w:rsidR="005B549A" w:rsidRPr="00E35298" w:rsidRDefault="005B549A" w:rsidP="00D979BE">
      <w:pPr>
        <w:spacing w:line="276" w:lineRule="auto"/>
        <w:ind w:firstLine="567"/>
        <w:jc w:val="center"/>
        <w:rPr>
          <w:rFonts w:ascii="GHEA Grapalat" w:hAnsi="GHEA Grapalat" w:cs="Times Armenian"/>
          <w:b/>
          <w:lang w:val="hy-AM"/>
        </w:rPr>
      </w:pPr>
      <w:r w:rsidRPr="00E35298">
        <w:rPr>
          <w:rFonts w:ascii="GHEA Grapalat" w:hAnsi="GHEA Grapalat"/>
          <w:b/>
          <w:lang w:val="hy-AM"/>
        </w:rPr>
        <w:t>ՀԱՇ</w:t>
      </w:r>
      <w:r w:rsidRPr="00E35298">
        <w:rPr>
          <w:rFonts w:ascii="GHEA Grapalat" w:hAnsi="GHEA Grapalat"/>
          <w:b/>
          <w:lang w:val="hy-AM"/>
        </w:rPr>
        <w:softHyphen/>
        <w:t>ՎԵՏՎՈՒ</w:t>
      </w:r>
      <w:r w:rsidRPr="00E35298">
        <w:rPr>
          <w:rFonts w:ascii="GHEA Grapalat" w:hAnsi="GHEA Grapalat"/>
          <w:b/>
          <w:lang w:val="hy-AM"/>
        </w:rPr>
        <w:softHyphen/>
        <w:t>ԹՅԱՆ</w:t>
      </w:r>
      <w:r w:rsidRPr="00E35298">
        <w:rPr>
          <w:rFonts w:ascii="GHEA Grapalat" w:hAnsi="GHEA Grapalat" w:cs="Arial Armenian"/>
          <w:b/>
          <w:lang w:val="hy-AM"/>
        </w:rPr>
        <w:t xml:space="preserve"> </w:t>
      </w:r>
      <w:r w:rsidRPr="00E35298">
        <w:rPr>
          <w:rFonts w:ascii="GHEA Grapalat" w:hAnsi="GHEA Grapalat"/>
          <w:b/>
          <w:lang w:val="hy-AM"/>
        </w:rPr>
        <w:t>ՍԵՂՄԱԳԻՐ</w:t>
      </w:r>
    </w:p>
    <w:p w14:paraId="62EFEBD8" w14:textId="467DBD33" w:rsidR="00556AF9" w:rsidRPr="00E35298" w:rsidRDefault="005B549A" w:rsidP="00D979BE">
      <w:pPr>
        <w:spacing w:line="276" w:lineRule="auto"/>
        <w:ind w:firstLine="567"/>
        <w:jc w:val="center"/>
        <w:rPr>
          <w:rFonts w:ascii="GHEA Grapalat" w:hAnsi="GHEA Grapalat"/>
          <w:b/>
          <w:lang w:val="hy-AM"/>
        </w:rPr>
      </w:pPr>
      <w:r w:rsidRPr="00E35298">
        <w:rPr>
          <w:rFonts w:ascii="GHEA Grapalat" w:hAnsi="GHEA Grapalat" w:cs="Times Armenian"/>
          <w:b/>
          <w:lang w:val="hy-AM"/>
        </w:rPr>
        <w:t>202</w:t>
      </w:r>
      <w:r w:rsidR="008F258A" w:rsidRPr="00E35298">
        <w:rPr>
          <w:rFonts w:ascii="GHEA Grapalat" w:hAnsi="GHEA Grapalat" w:cs="Times Armenian"/>
          <w:b/>
          <w:lang w:val="hy-AM"/>
        </w:rPr>
        <w:t>4</w:t>
      </w:r>
      <w:r w:rsidRPr="00E35298">
        <w:rPr>
          <w:rFonts w:ascii="GHEA Grapalat" w:hAnsi="GHEA Grapalat" w:cs="Times Armenian"/>
          <w:b/>
          <w:lang w:val="hy-AM"/>
        </w:rPr>
        <w:t xml:space="preserve"> </w:t>
      </w:r>
      <w:r w:rsidRPr="00E35298">
        <w:rPr>
          <w:rFonts w:ascii="GHEA Grapalat" w:hAnsi="GHEA Grapalat"/>
          <w:b/>
          <w:lang w:val="hy-AM"/>
        </w:rPr>
        <w:t>ԹՎԱԿԱՆԻ</w:t>
      </w:r>
      <w:r w:rsidRPr="00E35298">
        <w:rPr>
          <w:rFonts w:ascii="GHEA Grapalat" w:hAnsi="GHEA Grapalat" w:cs="Times Armenian"/>
          <w:b/>
          <w:lang w:val="hy-AM"/>
        </w:rPr>
        <w:t xml:space="preserve"> ԸՆԹԱՑՔՈՒՄ ԿԱՏԱՐԱԾ ՀԻՄՆԱԿԱՆ ԱՇԽԱՏԱՆՔՆԵՐԻ </w:t>
      </w:r>
      <w:r w:rsidRPr="00E35298">
        <w:rPr>
          <w:rFonts w:ascii="GHEA Grapalat" w:hAnsi="GHEA Grapalat"/>
          <w:b/>
          <w:lang w:val="hy-AM"/>
        </w:rPr>
        <w:t>ԱՐԴՅՈՒՆՔՆԵՐԻ</w:t>
      </w:r>
      <w:r w:rsidRPr="00E35298">
        <w:rPr>
          <w:rFonts w:ascii="GHEA Grapalat" w:hAnsi="GHEA Grapalat" w:cs="Times Armenian"/>
          <w:b/>
          <w:lang w:val="hy-AM"/>
        </w:rPr>
        <w:t xml:space="preserve"> ՎԵՐԱԲԵՐՅԱԼ</w:t>
      </w:r>
    </w:p>
    <w:p w14:paraId="2937A638" w14:textId="77777777" w:rsidR="00556AF9" w:rsidRPr="00E35298" w:rsidRDefault="00556AF9" w:rsidP="00D979BE">
      <w:pPr>
        <w:spacing w:line="276" w:lineRule="auto"/>
        <w:ind w:firstLine="567"/>
        <w:jc w:val="center"/>
        <w:rPr>
          <w:rFonts w:ascii="GHEA Grapalat" w:hAnsi="GHEA Grapalat"/>
          <w:b/>
          <w:lang w:val="hy-AM"/>
        </w:rPr>
      </w:pPr>
    </w:p>
    <w:p w14:paraId="56F089A2" w14:textId="77777777" w:rsidR="00E848A0" w:rsidRPr="00E35298" w:rsidRDefault="00E848A0" w:rsidP="00D979BE">
      <w:pPr>
        <w:pStyle w:val="a3"/>
        <w:numPr>
          <w:ilvl w:val="0"/>
          <w:numId w:val="1"/>
        </w:numPr>
        <w:spacing w:line="276" w:lineRule="auto"/>
        <w:ind w:left="0" w:firstLine="567"/>
        <w:jc w:val="both"/>
        <w:rPr>
          <w:rFonts w:ascii="GHEA Grapalat" w:hAnsi="GHEA Grapalat"/>
          <w:b/>
          <w:i/>
          <w:u w:val="single"/>
          <w:lang w:val="af-ZA"/>
        </w:rPr>
      </w:pPr>
      <w:r w:rsidRPr="00E35298">
        <w:rPr>
          <w:rFonts w:ascii="GHEA Grapalat" w:hAnsi="GHEA Grapalat"/>
          <w:b/>
          <w:i/>
          <w:u w:val="single"/>
          <w:lang w:val="af-ZA"/>
        </w:rPr>
        <w:t>Հաշվետու ժամանակահատվածում պետական գույքի կառավարման առանձին բնագավառներում ձեռք են բերվել հետևյալ արդյունքները.</w:t>
      </w:r>
    </w:p>
    <w:p w14:paraId="64DCFD24" w14:textId="77777777" w:rsidR="008F258A" w:rsidRPr="00E35298" w:rsidRDefault="008F258A" w:rsidP="00D979BE">
      <w:pPr>
        <w:pStyle w:val="a3"/>
        <w:spacing w:line="276" w:lineRule="auto"/>
        <w:ind w:left="0" w:firstLine="567"/>
        <w:jc w:val="both"/>
        <w:rPr>
          <w:rFonts w:ascii="GHEA Grapalat" w:hAnsi="GHEA Grapalat"/>
          <w:b/>
          <w:i/>
          <w:u w:val="single"/>
          <w:lang w:val="af-ZA"/>
        </w:rPr>
      </w:pPr>
    </w:p>
    <w:p w14:paraId="0CE8407F" w14:textId="53D223C0" w:rsidR="009B68C3" w:rsidRPr="00E35298" w:rsidRDefault="009B68C3" w:rsidP="00CD373B">
      <w:pPr>
        <w:spacing w:line="360" w:lineRule="auto"/>
        <w:ind w:firstLine="567"/>
        <w:jc w:val="both"/>
        <w:rPr>
          <w:rFonts w:ascii="GHEA Grapalat" w:hAnsi="GHEA Grapalat"/>
          <w:lang w:val="af-ZA"/>
        </w:rPr>
      </w:pPr>
      <w:r w:rsidRPr="00E35298">
        <w:rPr>
          <w:rFonts w:ascii="GHEA Grapalat" w:hAnsi="GHEA Grapalat"/>
          <w:lang w:val="af-ZA"/>
        </w:rPr>
        <w:t>2024թ.-ի հունվարի 1-ի դրությամբ իրականացվել է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r w:rsidR="001C4568">
        <w:rPr>
          <w:rFonts w:ascii="GHEA Grapalat" w:hAnsi="GHEA Grapalat"/>
          <w:lang w:val="af-ZA"/>
        </w:rPr>
        <w:t xml:space="preserve">, </w:t>
      </w:r>
      <w:r w:rsidR="00085495" w:rsidRPr="00E35298">
        <w:rPr>
          <w:rFonts w:ascii="GHEA Grapalat" w:hAnsi="GHEA Grapalat"/>
          <w:lang w:val="af-ZA"/>
        </w:rPr>
        <w:t xml:space="preserve">ինչպես նաև 2023թ. տարեկան արդյունքների հիման վրա իրականացվել է 50 տոկոս և ավելի պետական մասնակցությամբ 141,  (2022թ. թվականի տարեկան արդյունքների հիման վրա՝ 139) առևտրային կազմակերպությունների </w:t>
      </w:r>
      <w:r w:rsidR="001C4568" w:rsidRPr="00E35298">
        <w:rPr>
          <w:rFonts w:ascii="GHEA Grapalat" w:hAnsi="GHEA Grapalat"/>
          <w:lang w:val="af-ZA"/>
        </w:rPr>
        <w:t>2023թ. տարեկան արդյունքների ֆինանսատնտեսական վիճակի դիտարկումներ և վերլուծություն</w:t>
      </w:r>
      <w:r w:rsidR="00CD373B">
        <w:rPr>
          <w:rFonts w:ascii="GHEA Grapalat" w:hAnsi="GHEA Grapalat"/>
          <w:lang w:val="af-ZA"/>
        </w:rPr>
        <w:t>, որի վերաբերյալ ա</w:t>
      </w:r>
      <w:r w:rsidR="001C4568" w:rsidRPr="00E35298">
        <w:rPr>
          <w:rFonts w:ascii="GHEA Grapalat" w:hAnsi="GHEA Grapalat"/>
          <w:lang w:val="af-ZA"/>
        </w:rPr>
        <w:t>մփոփ տեղեկանքը ներկայացվել է ՀՀ վարչապետի աշխատակազմ</w:t>
      </w:r>
      <w:r w:rsidR="000D1D3E">
        <w:rPr>
          <w:rFonts w:ascii="GHEA Grapalat" w:hAnsi="GHEA Grapalat"/>
          <w:lang w:val="af-ZA"/>
        </w:rPr>
        <w:t>։</w:t>
      </w:r>
      <w:r w:rsidR="00171FC3">
        <w:rPr>
          <w:rFonts w:ascii="GHEA Grapalat" w:hAnsi="GHEA Grapalat"/>
          <w:lang w:val="af-ZA"/>
        </w:rPr>
        <w:t xml:space="preserve"> Միաժամանակ, </w:t>
      </w:r>
      <w:r w:rsidR="00CD373B">
        <w:rPr>
          <w:rFonts w:ascii="GHEA Grapalat" w:hAnsi="GHEA Grapalat"/>
          <w:lang w:val="af-ZA"/>
        </w:rPr>
        <w:t xml:space="preserve"> </w:t>
      </w:r>
      <w:r w:rsidRPr="00E35298">
        <w:rPr>
          <w:rFonts w:ascii="GHEA Grapalat" w:hAnsi="GHEA Grapalat"/>
          <w:lang w:val="af-ZA"/>
        </w:rPr>
        <w:t>2022թ. և 2023թ</w:t>
      </w:r>
      <w:r w:rsidRPr="00E35298">
        <w:rPr>
          <w:rFonts w:ascii="MS Mincho" w:eastAsia="MS Mincho" w:hAnsi="MS Mincho" w:cs="MS Mincho" w:hint="eastAsia"/>
          <w:lang w:val="af-ZA"/>
        </w:rPr>
        <w:t>․</w:t>
      </w:r>
      <w:r w:rsidRPr="00E35298">
        <w:rPr>
          <w:rFonts w:ascii="GHEA Grapalat" w:hAnsi="GHEA Grapalat"/>
          <w:lang w:val="af-ZA"/>
        </w:rPr>
        <w:t xml:space="preserve"> տարեկան ֆինանսական արդյունքներով վնաս ձևավորած առևտրային կազմակերպությունների ֆինանսական վիճակի վատթարացման և ձեռնարկված միջոցների վերաբերյալ 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տեղեկատվությունն ամփոփվել և ներկայացվել են ՀՀ վարչապետի աշխատակազմ։ </w:t>
      </w:r>
    </w:p>
    <w:p w14:paraId="421DB127" w14:textId="77777777" w:rsidR="00377B3A" w:rsidRDefault="009B68C3" w:rsidP="00E6301A">
      <w:pPr>
        <w:spacing w:line="360" w:lineRule="auto"/>
        <w:ind w:firstLine="720"/>
        <w:jc w:val="both"/>
        <w:rPr>
          <w:rFonts w:ascii="GHEA Grapalat" w:hAnsi="GHEA Grapalat"/>
          <w:lang w:val="af-ZA"/>
        </w:rPr>
      </w:pPr>
      <w:r w:rsidRPr="00E35298">
        <w:rPr>
          <w:rFonts w:ascii="GHEA Grapalat" w:hAnsi="GHEA Grapalat"/>
          <w:b/>
          <w:lang w:val="af-ZA"/>
        </w:rPr>
        <w:t>Կազմակերպությունների կառավարման համակարգում</w:t>
      </w:r>
      <w:r w:rsidRPr="00E35298">
        <w:rPr>
          <w:rFonts w:ascii="GHEA Grapalat" w:hAnsi="GHEA Grapalat"/>
          <w:lang w:val="af-ZA"/>
        </w:rPr>
        <w:t xml:space="preserve"> </w:t>
      </w:r>
      <w:r w:rsidRPr="00E35298">
        <w:rPr>
          <w:rFonts w:ascii="GHEA Grapalat" w:hAnsi="GHEA Grapalat"/>
          <w:lang w:val="hy-AM"/>
        </w:rPr>
        <w:t>ն</w:t>
      </w:r>
      <w:r w:rsidRPr="00E35298">
        <w:rPr>
          <w:rFonts w:ascii="GHEA Grapalat" w:hAnsi="GHEA Grapalat"/>
          <w:lang w:val="af-ZA"/>
        </w:rPr>
        <w:t xml:space="preserve">ախապատրաստվել են թվով </w:t>
      </w:r>
      <w:r w:rsidR="00524C74" w:rsidRPr="00E35298">
        <w:rPr>
          <w:rFonts w:ascii="GHEA Grapalat" w:hAnsi="GHEA Grapalat"/>
          <w:lang w:val="af-ZA"/>
        </w:rPr>
        <w:t>20</w:t>
      </w:r>
      <w:r w:rsidRPr="00E35298">
        <w:rPr>
          <w:rFonts w:ascii="GHEA Grapalat" w:hAnsi="GHEA Grapalat"/>
          <w:lang w:val="af-ZA"/>
        </w:rPr>
        <w:t xml:space="preserve"> ՀՀ կառավարության որոշման նախագծեր, որոնցից </w:t>
      </w:r>
      <w:r w:rsidR="00524C74" w:rsidRPr="00E35298">
        <w:rPr>
          <w:rFonts w:ascii="GHEA Grapalat" w:hAnsi="GHEA Grapalat"/>
          <w:lang w:val="af-ZA"/>
        </w:rPr>
        <w:t>1</w:t>
      </w:r>
      <w:r w:rsidR="00EE39A1">
        <w:rPr>
          <w:rFonts w:ascii="GHEA Grapalat" w:hAnsi="GHEA Grapalat"/>
          <w:lang w:val="af-ZA"/>
        </w:rPr>
        <w:t>2</w:t>
      </w:r>
      <w:r w:rsidR="00A620E4" w:rsidRPr="00E35298">
        <w:rPr>
          <w:rFonts w:ascii="GHEA Grapalat" w:hAnsi="GHEA Grapalat"/>
          <w:lang w:val="af-ZA"/>
        </w:rPr>
        <w:t xml:space="preserve">-ն ընդունվել են </w:t>
      </w:r>
      <w:r w:rsidRPr="00E35298">
        <w:rPr>
          <w:rFonts w:ascii="GHEA Grapalat" w:hAnsi="GHEA Grapalat"/>
          <w:lang w:val="af-ZA"/>
        </w:rPr>
        <w:t>ՀՀ կառավարության կողմից</w:t>
      </w:r>
      <w:r w:rsidR="00E6301A">
        <w:rPr>
          <w:rFonts w:ascii="GHEA Grapalat" w:hAnsi="GHEA Grapalat"/>
          <w:lang w:val="af-ZA"/>
        </w:rPr>
        <w:t>։</w:t>
      </w:r>
      <w:r w:rsidRPr="00E35298">
        <w:rPr>
          <w:rFonts w:ascii="GHEA Grapalat" w:hAnsi="GHEA Grapalat"/>
          <w:lang w:val="af-ZA"/>
        </w:rPr>
        <w:t xml:space="preserve"> </w:t>
      </w:r>
    </w:p>
    <w:p w14:paraId="1A944929" w14:textId="77777777" w:rsidR="00377B3A" w:rsidRDefault="00E6301A" w:rsidP="00E6301A">
      <w:pPr>
        <w:spacing w:line="360" w:lineRule="auto"/>
        <w:ind w:firstLine="720"/>
        <w:jc w:val="both"/>
        <w:rPr>
          <w:rFonts w:ascii="GHEA Grapalat" w:hAnsi="GHEA Grapalat"/>
          <w:lang w:val="af-ZA"/>
        </w:rPr>
      </w:pPr>
      <w:r w:rsidRPr="00363FB6">
        <w:rPr>
          <w:rStyle w:val="normaltextrun"/>
          <w:rFonts w:ascii="GHEA Grapalat" w:hAnsi="GHEA Grapalat" w:cs="Segoe UI"/>
          <w:color w:val="000000" w:themeColor="text1"/>
          <w:lang w:val="hy-AM"/>
        </w:rPr>
        <w:t xml:space="preserve">ՀՀ կառավարության </w:t>
      </w:r>
      <w:r>
        <w:rPr>
          <w:rStyle w:val="normaltextrun"/>
          <w:rFonts w:ascii="GHEA Grapalat" w:hAnsi="GHEA Grapalat" w:cs="Segoe UI"/>
          <w:color w:val="000000" w:themeColor="text1"/>
          <w:lang w:val="hy-AM"/>
        </w:rPr>
        <w:t xml:space="preserve">կողմից </w:t>
      </w:r>
      <w:r w:rsidRPr="00363FB6">
        <w:rPr>
          <w:rStyle w:val="normaltextrun"/>
          <w:rFonts w:ascii="GHEA Grapalat" w:hAnsi="GHEA Grapalat" w:cs="Segoe UI"/>
          <w:color w:val="000000" w:themeColor="text1"/>
          <w:lang w:val="hy-AM"/>
        </w:rPr>
        <w:t>2024</w:t>
      </w:r>
      <w:r>
        <w:rPr>
          <w:rStyle w:val="normaltextrun"/>
          <w:rFonts w:ascii="GHEA Grapalat" w:hAnsi="GHEA Grapalat" w:cs="Segoe UI"/>
          <w:color w:val="000000" w:themeColor="text1"/>
          <w:lang w:val="hy-AM"/>
        </w:rPr>
        <w:t xml:space="preserve"> </w:t>
      </w:r>
      <w:r w:rsidRPr="00363FB6">
        <w:rPr>
          <w:rStyle w:val="normaltextrun"/>
          <w:rFonts w:ascii="GHEA Grapalat" w:hAnsi="GHEA Grapalat" w:cs="Segoe UI"/>
          <w:color w:val="000000" w:themeColor="text1"/>
          <w:lang w:val="hy-AM"/>
        </w:rPr>
        <w:t>թ</w:t>
      </w:r>
      <w:r>
        <w:rPr>
          <w:rStyle w:val="normaltextrun"/>
          <w:rFonts w:ascii="GHEA Grapalat" w:hAnsi="GHEA Grapalat" w:cs="Segoe UI"/>
          <w:color w:val="000000" w:themeColor="text1"/>
          <w:lang w:val="hy-AM"/>
        </w:rPr>
        <w:t xml:space="preserve">վականի օգոստոսի 29-ին ընդունվել է </w:t>
      </w:r>
      <w:r w:rsidRPr="00363FB6">
        <w:rPr>
          <w:rStyle w:val="normaltextrun"/>
          <w:rFonts w:ascii="GHEA Grapalat" w:hAnsi="GHEA Grapalat" w:cs="Segoe UI"/>
          <w:color w:val="000000" w:themeColor="text1"/>
          <w:lang w:val="hy-AM"/>
        </w:rPr>
        <w:t>«Հրազդան մարզահամալիր» փակ բաժնետիրական ընկերության պետական սեփականություն հանդիսացող բաժնետոմսերն ուղղակի վաճառքի ձևով նախօրոք հայտնի գնորդին մասնավորեցնելու մասին» թիվ 1388-Ա որոշումը։</w:t>
      </w:r>
      <w:r w:rsidRPr="00E35298">
        <w:rPr>
          <w:rFonts w:ascii="GHEA Grapalat" w:hAnsi="GHEA Grapalat"/>
          <w:lang w:val="af-ZA"/>
        </w:rPr>
        <w:t xml:space="preserve"> </w:t>
      </w:r>
    </w:p>
    <w:p w14:paraId="44FF09A0" w14:textId="0821FA84" w:rsidR="009B68C3" w:rsidRPr="00E35298" w:rsidRDefault="00AC5491" w:rsidP="00E6301A">
      <w:pPr>
        <w:spacing w:line="360" w:lineRule="auto"/>
        <w:ind w:firstLine="720"/>
        <w:jc w:val="both"/>
        <w:rPr>
          <w:rFonts w:ascii="GHEA Grapalat" w:hAnsi="GHEA Grapalat"/>
          <w:lang w:val="af-ZA"/>
        </w:rPr>
      </w:pPr>
      <w:r w:rsidRPr="00E35298">
        <w:rPr>
          <w:rFonts w:ascii="GHEA Grapalat" w:hAnsi="GHEA Grapalat"/>
          <w:lang w:val="af-ZA"/>
        </w:rPr>
        <w:t xml:space="preserve">Հաշվետու ժամանակաշրջանում </w:t>
      </w:r>
      <w:r w:rsidR="009B68C3" w:rsidRPr="00E35298">
        <w:rPr>
          <w:rFonts w:ascii="GHEA Grapalat" w:hAnsi="GHEA Grapalat"/>
          <w:lang w:val="af-ZA"/>
        </w:rPr>
        <w:t xml:space="preserve">ՀՀ կառավարության կողմից ընդունվել է </w:t>
      </w:r>
      <w:r w:rsidR="002243A0" w:rsidRPr="00E35298">
        <w:rPr>
          <w:rFonts w:ascii="GHEA Grapalat" w:hAnsi="GHEA Grapalat"/>
          <w:lang w:val="af-ZA"/>
        </w:rPr>
        <w:t>4</w:t>
      </w:r>
      <w:r w:rsidR="009B68C3" w:rsidRPr="00E35298">
        <w:rPr>
          <w:rFonts w:ascii="GHEA Grapalat" w:hAnsi="GHEA Grapalat"/>
          <w:lang w:val="af-ZA"/>
        </w:rPr>
        <w:t xml:space="preserve"> կազմակերպության լուծարման մասին որոշում, </w:t>
      </w:r>
      <w:r w:rsidR="00524C74" w:rsidRPr="00E35298">
        <w:rPr>
          <w:rFonts w:ascii="GHEA Grapalat" w:hAnsi="GHEA Grapalat"/>
          <w:lang w:val="af-ZA"/>
        </w:rPr>
        <w:t>3</w:t>
      </w:r>
      <w:r w:rsidR="002243A0" w:rsidRPr="00E35298">
        <w:rPr>
          <w:rFonts w:ascii="GHEA Grapalat" w:hAnsi="GHEA Grapalat"/>
          <w:lang w:val="af-ZA"/>
        </w:rPr>
        <w:t xml:space="preserve"> </w:t>
      </w:r>
      <w:r w:rsidR="009B68C3" w:rsidRPr="00E35298">
        <w:rPr>
          <w:rFonts w:ascii="GHEA Grapalat" w:hAnsi="GHEA Grapalat"/>
          <w:lang w:val="af-ZA"/>
        </w:rPr>
        <w:t xml:space="preserve">կազմակերպության լուծարման գործընթաց ավարտվել է (2023թ-ի ընթացքում ՀՀ կառավարության կողմից ընդունվել է </w:t>
      </w:r>
      <w:r w:rsidR="00524C74" w:rsidRPr="00E35298">
        <w:rPr>
          <w:rFonts w:ascii="GHEA Grapalat" w:hAnsi="GHEA Grapalat"/>
          <w:lang w:val="af-ZA"/>
        </w:rPr>
        <w:t>3</w:t>
      </w:r>
      <w:r w:rsidR="009B68C3" w:rsidRPr="00E35298">
        <w:rPr>
          <w:rFonts w:ascii="GHEA Grapalat" w:hAnsi="GHEA Grapalat"/>
          <w:lang w:val="af-ZA"/>
        </w:rPr>
        <w:t xml:space="preserve"> ընկերության լուծարման մասին որոշում, 4 ընկերության լուծարման գործընթացն ավարտվել է, </w:t>
      </w:r>
      <w:r w:rsidR="00524C74" w:rsidRPr="00E35298">
        <w:rPr>
          <w:rFonts w:ascii="GHEA Grapalat" w:hAnsi="GHEA Grapalat"/>
          <w:lang w:val="af-ZA"/>
        </w:rPr>
        <w:t>3</w:t>
      </w:r>
      <w:r w:rsidR="009B68C3" w:rsidRPr="00E35298">
        <w:rPr>
          <w:rFonts w:ascii="GHEA Grapalat" w:hAnsi="GHEA Grapalat"/>
          <w:lang w:val="af-ZA"/>
        </w:rPr>
        <w:t xml:space="preserve"> ընկերություն ճանաչվել է սնանկ)։</w:t>
      </w:r>
    </w:p>
    <w:p w14:paraId="06B17A48" w14:textId="77777777" w:rsidR="00DB6EAE" w:rsidRPr="00E35298" w:rsidRDefault="00DB6EAE" w:rsidP="00E35298">
      <w:pPr>
        <w:spacing w:line="360" w:lineRule="auto"/>
        <w:ind w:firstLine="567"/>
        <w:jc w:val="both"/>
        <w:rPr>
          <w:rFonts w:ascii="GHEA Grapalat" w:hAnsi="GHEA Grapalat"/>
          <w:lang w:val="af-ZA"/>
        </w:rPr>
      </w:pPr>
      <w:r w:rsidRPr="00E35298">
        <w:rPr>
          <w:rFonts w:ascii="GHEA Grapalat" w:hAnsi="GHEA Grapalat"/>
          <w:lang w:val="af-ZA"/>
        </w:rPr>
        <w:t xml:space="preserve">Լուծարվող կազմակերպություններում իրականացվել է շուրջ 602,932.0 հազ.դրամ վճարումներ, որից՝ ՀՀ պետական բյուջե` 335,408.0 հազ.դրամ, համայնքային բյուջե՝ 1,680.0 հազ.դրամ, աշխատավարձի գծով` 197,436.0 հազ.դրամ և այլ կրեդիտորական պարտք 68,408.0 հազ.դրամ։ </w:t>
      </w:r>
      <w:r w:rsidRPr="00E35298">
        <w:rPr>
          <w:rFonts w:ascii="GHEA Grapalat" w:hAnsi="GHEA Grapalat"/>
          <w:lang w:val="af-ZA"/>
        </w:rPr>
        <w:lastRenderedPageBreak/>
        <w:t>(2023թ.-ի ընթացքում լուծարվող կազմակերպություններում իրականացվել է շուրջ 275,735.0 հազ.դրամ վճարումներ, որից՝ ՀՀ պետական բյուջե` 221,286.0 հազ.դրամ, համայնքային բյուջե՝ 5,664.0 հազ.դրամ, աշխատավարձի գծով` 43,686.0 հազ.դրամ և այլ կրեդիտորական պարտք 5,099.0 հազ.դրամ)։</w:t>
      </w:r>
    </w:p>
    <w:p w14:paraId="4C5DC964" w14:textId="77777777" w:rsidR="002E7D61" w:rsidRPr="00E35298" w:rsidRDefault="002E7D61" w:rsidP="002E7D61">
      <w:pPr>
        <w:spacing w:line="360" w:lineRule="auto"/>
        <w:ind w:firstLine="720"/>
        <w:jc w:val="both"/>
        <w:rPr>
          <w:rStyle w:val="normaltextrun"/>
          <w:rFonts w:ascii="GHEA Grapalat" w:hAnsi="GHEA Grapalat" w:cs="Segoe UI"/>
          <w:i/>
          <w:iCs/>
          <w:color w:val="000000" w:themeColor="text1"/>
          <w:lang w:val="hy-AM"/>
        </w:rPr>
      </w:pPr>
      <w:r w:rsidRPr="007A5841">
        <w:rPr>
          <w:rStyle w:val="normaltextrun"/>
          <w:rFonts w:ascii="GHEA Grapalat" w:hAnsi="GHEA Grapalat" w:cs="Segoe UI"/>
          <w:color w:val="000000" w:themeColor="text1"/>
          <w:lang w:val="hy-AM"/>
        </w:rPr>
        <w:t>Միաժամանակ ՀՀ պետական բյուջե է փոխանցվել «Ակադեմիկոս Էմիլ Գաբրիելյանի անվան դեղերի և բժշկական տեխնոլոգիաների փորձագիտական կենտրոն» ՓԲԸ-ին գործընկերներից փորձագիտության նպատակով ստացված 959,255.0 հազ.դրամ կանխավճար։</w:t>
      </w:r>
    </w:p>
    <w:p w14:paraId="617B7B04" w14:textId="77777777" w:rsidR="00DB6EAE" w:rsidRDefault="00DB6EAE" w:rsidP="00E35298">
      <w:pPr>
        <w:spacing w:line="360" w:lineRule="auto"/>
        <w:ind w:firstLine="567"/>
        <w:jc w:val="both"/>
        <w:rPr>
          <w:rStyle w:val="normaltextrun"/>
          <w:rFonts w:ascii="GHEA Grapalat" w:hAnsi="GHEA Grapalat" w:cs="Segoe UI"/>
          <w:color w:val="000000" w:themeColor="text1"/>
          <w:lang w:val="hy-AM"/>
        </w:rPr>
      </w:pPr>
      <w:r w:rsidRPr="00E35298">
        <w:rPr>
          <w:rFonts w:ascii="GHEA Grapalat" w:hAnsi="GHEA Grapalat"/>
          <w:lang w:val="af-ZA"/>
        </w:rPr>
        <w:t>Լուծարումից հետո ՀՀ պետական բյուջե է փոխանցվել 300,388.0 հազ.դրամ գումար, իսկ 1,970.2 հազ. դրամ դեբիտորական պարտքի ստացման իրավունք փոխանցվել է ՀՀ ֆինանսների նախարարությանը։ (2023թ.-ի ընթացքում ՀՀ պետական բյուջե է փոխանցվել 119,475.0 հազ.դրամ գումար, իսկ 6,101,459.2 հազ.դրամ և 1 մլն. 100 հազ. ԱՄՆ դոլար դեբիտորական</w:t>
      </w:r>
      <w:r w:rsidRPr="00E35298">
        <w:rPr>
          <w:rStyle w:val="normaltextrun"/>
          <w:rFonts w:ascii="GHEA Grapalat" w:hAnsi="GHEA Grapalat" w:cs="Segoe UI"/>
          <w:color w:val="000000" w:themeColor="text1"/>
          <w:lang w:val="hy-AM"/>
        </w:rPr>
        <w:t xml:space="preserve"> պարտքի ստացման իրավունք փոխանցվել է ՀՀ ֆինանսների նախարարությանը)։ </w:t>
      </w:r>
    </w:p>
    <w:p w14:paraId="5D5936E0" w14:textId="0A2375CD" w:rsidR="009B68C3" w:rsidRPr="00E35298" w:rsidRDefault="00DD775C" w:rsidP="0045535C">
      <w:pPr>
        <w:tabs>
          <w:tab w:val="left" w:pos="851"/>
        </w:tabs>
        <w:spacing w:line="360" w:lineRule="auto"/>
        <w:ind w:firstLine="567"/>
        <w:jc w:val="both"/>
        <w:rPr>
          <w:rStyle w:val="normaltextrun"/>
          <w:rFonts w:ascii="GHEA Grapalat" w:hAnsi="GHEA Grapalat" w:cs="Segoe UI"/>
          <w:color w:val="000000" w:themeColor="text1"/>
          <w:lang w:val="hy-AM"/>
        </w:rPr>
      </w:pPr>
      <w:r w:rsidRPr="00E35298">
        <w:rPr>
          <w:rStyle w:val="normaltextrun"/>
          <w:rFonts w:ascii="GHEA Grapalat" w:hAnsi="GHEA Grapalat" w:cs="Segoe UI"/>
          <w:b/>
          <w:lang w:val="hy-AM"/>
        </w:rPr>
        <w:t>Պետական գույքի էլեկտրոնային հաշվառման համակարգում</w:t>
      </w:r>
      <w:r w:rsidRPr="00E35298">
        <w:rPr>
          <w:rStyle w:val="normaltextrun"/>
          <w:rFonts w:ascii="GHEA Grapalat" w:hAnsi="GHEA Grapalat" w:cs="Segoe UI"/>
          <w:lang w:val="hy-AM"/>
        </w:rPr>
        <w:t xml:space="preserve"> </w:t>
      </w:r>
      <w:r w:rsidR="00363527" w:rsidRPr="00E35298">
        <w:rPr>
          <w:rStyle w:val="normaltextrun"/>
          <w:rFonts w:ascii="GHEA Grapalat" w:hAnsi="GHEA Grapalat" w:cs="Segoe UI"/>
          <w:color w:val="000000" w:themeColor="text1"/>
          <w:lang w:val="hy-AM"/>
        </w:rPr>
        <w:t>գրանցված է 10911 միավոր պետական սեփականություն հանդիսացող անշարժ գույք</w:t>
      </w:r>
      <w:r w:rsidR="00C1238F">
        <w:rPr>
          <w:rStyle w:val="normaltextrun"/>
          <w:rFonts w:ascii="GHEA Grapalat" w:hAnsi="GHEA Grapalat" w:cs="Segoe UI"/>
          <w:color w:val="000000" w:themeColor="text1"/>
          <w:lang w:val="hy-AM"/>
        </w:rPr>
        <w:t>ի</w:t>
      </w:r>
      <w:r w:rsidR="00EA275A" w:rsidRPr="00E35298">
        <w:rPr>
          <w:rStyle w:val="normaltextrun"/>
          <w:rFonts w:ascii="GHEA Grapalat" w:hAnsi="GHEA Grapalat" w:cs="Segoe UI"/>
          <w:color w:val="000000" w:themeColor="text1"/>
          <w:lang w:val="hy-AM"/>
        </w:rPr>
        <w:t xml:space="preserve">, </w:t>
      </w:r>
      <w:r w:rsidR="00363527" w:rsidRPr="00E35298">
        <w:rPr>
          <w:rStyle w:val="normaltextrun"/>
          <w:rFonts w:ascii="GHEA Grapalat" w:hAnsi="GHEA Grapalat" w:cs="Segoe UI"/>
          <w:lang w:val="hy-AM"/>
        </w:rPr>
        <w:t>իրավաբանական անձանց գույքի կազմում ընդգրկված 2927 անշարժ գույք</w:t>
      </w:r>
      <w:r w:rsidR="00C1238F">
        <w:rPr>
          <w:rStyle w:val="normaltextrun"/>
          <w:rFonts w:ascii="GHEA Grapalat" w:hAnsi="GHEA Grapalat" w:cs="Segoe UI"/>
          <w:lang w:val="hy-AM"/>
        </w:rPr>
        <w:t>ի</w:t>
      </w:r>
      <w:r w:rsidR="00363527" w:rsidRPr="00E35298">
        <w:rPr>
          <w:rStyle w:val="normaltextrun"/>
          <w:rFonts w:ascii="GHEA Grapalat" w:hAnsi="GHEA Grapalat" w:cs="Segoe UI"/>
          <w:lang w:val="hy-AM"/>
        </w:rPr>
        <w:t>,</w:t>
      </w:r>
      <w:r w:rsidR="00363527" w:rsidRPr="00E35298">
        <w:rPr>
          <w:rStyle w:val="normaltextrun"/>
          <w:rFonts w:ascii="GHEA Grapalat" w:hAnsi="GHEA Grapalat" w:cs="Segoe UI"/>
          <w:color w:val="000000" w:themeColor="text1"/>
          <w:lang w:val="hy-AM"/>
        </w:rPr>
        <w:t xml:space="preserve"> </w:t>
      </w:r>
      <w:r w:rsidR="00363527" w:rsidRPr="00E35298">
        <w:rPr>
          <w:rStyle w:val="normaltextrun"/>
          <w:rFonts w:ascii="GHEA Grapalat" w:hAnsi="GHEA Grapalat" w:cs="Segoe UI"/>
          <w:lang w:val="hy-AM"/>
        </w:rPr>
        <w:t>91 պետական սեփականություն հանդիսացող չկառուցապատված հողամաս</w:t>
      </w:r>
      <w:r w:rsidR="00C1238F">
        <w:rPr>
          <w:rStyle w:val="normaltextrun"/>
          <w:rFonts w:ascii="GHEA Grapalat" w:hAnsi="GHEA Grapalat" w:cs="Segoe UI"/>
          <w:lang w:val="hy-AM"/>
        </w:rPr>
        <w:t>ի</w:t>
      </w:r>
      <w:r w:rsidR="00363527" w:rsidRPr="00E35298">
        <w:rPr>
          <w:rStyle w:val="normaltextrun"/>
          <w:rFonts w:ascii="GHEA Grapalat" w:hAnsi="GHEA Grapalat" w:cs="Segoe UI"/>
          <w:lang w:val="hy-AM"/>
        </w:rPr>
        <w:t>,</w:t>
      </w:r>
      <w:r w:rsidR="00363527" w:rsidRPr="00E35298">
        <w:rPr>
          <w:rStyle w:val="normaltextrun"/>
          <w:rFonts w:ascii="GHEA Grapalat" w:hAnsi="GHEA Grapalat" w:cs="Segoe UI"/>
          <w:color w:val="000000" w:themeColor="text1"/>
          <w:lang w:val="hy-AM"/>
        </w:rPr>
        <w:t xml:space="preserve"> </w:t>
      </w:r>
      <w:r w:rsidR="00363527" w:rsidRPr="00E35298">
        <w:rPr>
          <w:rStyle w:val="normaltextrun"/>
          <w:rFonts w:ascii="GHEA Grapalat" w:hAnsi="GHEA Grapalat" w:cs="Segoe UI"/>
          <w:lang w:val="hy-AM"/>
        </w:rPr>
        <w:t>5960 միավոր տրանսպորտային միջոց</w:t>
      </w:r>
      <w:r w:rsidR="00C1238F">
        <w:rPr>
          <w:rStyle w:val="normaltextrun"/>
          <w:rFonts w:ascii="GHEA Grapalat" w:hAnsi="GHEA Grapalat" w:cs="Segoe UI"/>
          <w:lang w:val="hy-AM"/>
        </w:rPr>
        <w:t>ի</w:t>
      </w:r>
      <w:r w:rsidR="00363527" w:rsidRPr="00E35298">
        <w:rPr>
          <w:rStyle w:val="normaltextrun"/>
          <w:rFonts w:ascii="GHEA Grapalat" w:hAnsi="GHEA Grapalat" w:cs="Segoe UI"/>
          <w:lang w:val="hy-AM"/>
        </w:rPr>
        <w:t>, 304</w:t>
      </w:r>
      <w:r w:rsidR="00EA275A" w:rsidRPr="00E35298">
        <w:rPr>
          <w:rStyle w:val="normaltextrun"/>
          <w:rFonts w:ascii="GHEA Grapalat" w:hAnsi="GHEA Grapalat" w:cs="Segoe UI"/>
          <w:color w:val="000000" w:themeColor="text1"/>
          <w:lang w:val="hy-AM"/>
        </w:rPr>
        <w:t xml:space="preserve"> անվանում մտավոր սեփականության օբյեկտ</w:t>
      </w:r>
      <w:r w:rsidR="009B68C3" w:rsidRPr="00E35298">
        <w:rPr>
          <w:rStyle w:val="normaltextrun"/>
          <w:rFonts w:ascii="GHEA Grapalat" w:hAnsi="GHEA Grapalat" w:cs="Segoe UI"/>
          <w:color w:val="000000" w:themeColor="text1"/>
          <w:lang w:val="hy-AM"/>
        </w:rPr>
        <w:t>ի և</w:t>
      </w:r>
      <w:r w:rsidR="00EA275A" w:rsidRPr="00E35298">
        <w:rPr>
          <w:rStyle w:val="normaltextrun"/>
          <w:rFonts w:ascii="GHEA Grapalat" w:hAnsi="GHEA Grapalat" w:cs="Segoe UI"/>
          <w:color w:val="000000" w:themeColor="text1"/>
          <w:lang w:val="hy-AM"/>
        </w:rPr>
        <w:t xml:space="preserve"> պետական բաժնեմաս ունեցող </w:t>
      </w:r>
      <w:r w:rsidR="00363527" w:rsidRPr="00E35298">
        <w:rPr>
          <w:rStyle w:val="normaltextrun"/>
          <w:rFonts w:ascii="GHEA Grapalat" w:hAnsi="GHEA Grapalat" w:cs="Segoe UI"/>
          <w:color w:val="000000" w:themeColor="text1"/>
          <w:lang w:val="hy-AM"/>
        </w:rPr>
        <w:t>166</w:t>
      </w:r>
      <w:r w:rsidR="00EA275A" w:rsidRPr="00E35298">
        <w:rPr>
          <w:rStyle w:val="normaltextrun"/>
          <w:rFonts w:ascii="GHEA Grapalat" w:hAnsi="GHEA Grapalat" w:cs="Segoe UI"/>
          <w:color w:val="000000" w:themeColor="text1"/>
          <w:lang w:val="hy-AM"/>
        </w:rPr>
        <w:t xml:space="preserve"> առևտրային կազմակերպությ</w:t>
      </w:r>
      <w:r w:rsidR="009B68C3" w:rsidRPr="00E35298">
        <w:rPr>
          <w:rStyle w:val="normaltextrun"/>
          <w:rFonts w:ascii="GHEA Grapalat" w:hAnsi="GHEA Grapalat" w:cs="Segoe UI"/>
          <w:color w:val="000000" w:themeColor="text1"/>
          <w:lang w:val="hy-AM"/>
        </w:rPr>
        <w:t>ան վերաբերյալ</w:t>
      </w:r>
      <w:r w:rsidR="00363527" w:rsidRPr="00E35298">
        <w:rPr>
          <w:rStyle w:val="normaltextrun"/>
          <w:rFonts w:ascii="GHEA Grapalat" w:hAnsi="GHEA Grapalat" w:cs="Segoe UI"/>
          <w:color w:val="000000" w:themeColor="text1"/>
          <w:lang w:val="hy-AM"/>
        </w:rPr>
        <w:t>։</w:t>
      </w:r>
    </w:p>
    <w:p w14:paraId="30EEEB3C" w14:textId="584F2686" w:rsidR="008C1D9C" w:rsidRPr="00E35298" w:rsidRDefault="008C1D9C" w:rsidP="008C1D9C">
      <w:pPr>
        <w:tabs>
          <w:tab w:val="left" w:pos="6525"/>
        </w:tabs>
        <w:spacing w:line="360" w:lineRule="auto"/>
        <w:ind w:left="-90" w:right="75" w:firstLine="540"/>
        <w:jc w:val="both"/>
        <w:rPr>
          <w:rStyle w:val="normaltextrun"/>
          <w:rFonts w:ascii="GHEA Grapalat" w:hAnsi="GHEA Grapalat" w:cs="Segoe UI"/>
          <w:color w:val="000000" w:themeColor="text1"/>
          <w:lang w:val="hy-AM"/>
        </w:rPr>
      </w:pPr>
      <w:r w:rsidRPr="00E35298">
        <w:rPr>
          <w:rStyle w:val="normaltextrun"/>
          <w:rFonts w:ascii="GHEA Grapalat" w:hAnsi="GHEA Grapalat" w:cs="Segoe UI"/>
          <w:color w:val="000000" w:themeColor="text1"/>
          <w:lang w:val="hy-AM"/>
        </w:rPr>
        <w:t>Հաշվետու ժամանակահատվածում մշակվել և ՀՀ օրենսդրությամբ սահմանված կարգով շրջանառության մեջ են դրվել պետական անշարժ գույքի օտարման մասին ՀՀ կառավարության որոշման 30 նախագիծ, որից 15-ը ընդունվել է, 15-ը գտնվում է շրջանառության մեջ։ Նշված նախագծերով օտարման է ներկայացվել 25 անվանում անշարժ գույք (ըստ օտարման ձևի՝ 12-ն՝ աճուրդ, 2-ն՝ ուղղակի վաճառք, 4-ը՝ մրցույթ): 2023-2024թթ</w:t>
      </w:r>
      <w:r w:rsidRPr="00E35298">
        <w:rPr>
          <w:rStyle w:val="normaltextrun"/>
          <w:rFonts w:ascii="MS Mincho" w:eastAsia="MS Mincho" w:hAnsi="MS Mincho" w:cs="MS Mincho" w:hint="eastAsia"/>
          <w:color w:val="000000" w:themeColor="text1"/>
          <w:lang w:val="hy-AM"/>
        </w:rPr>
        <w:t>․</w:t>
      </w:r>
      <w:r w:rsidRPr="00E35298">
        <w:rPr>
          <w:rStyle w:val="normaltextrun"/>
          <w:rFonts w:ascii="GHEA Grapalat" w:hAnsi="GHEA Grapalat" w:cs="Segoe UI"/>
          <w:color w:val="000000" w:themeColor="text1"/>
          <w:lang w:val="hy-AM"/>
        </w:rPr>
        <w:t xml:space="preserve"> ընդունված ՀՀ կառավարության 4 որոշումների համաձայն 4 անվանում անշարժ գույք օտարվել է (ըստ օտարման ձևի՝ 2-ը՝ աճուրդ, 2-ը՝ մրցույթ)։ (2023թ</w:t>
      </w:r>
      <w:r w:rsidRPr="00E35298">
        <w:rPr>
          <w:rStyle w:val="normaltextrun"/>
          <w:rFonts w:ascii="MS Mincho" w:eastAsia="MS Mincho" w:hAnsi="MS Mincho" w:cs="MS Mincho" w:hint="eastAsia"/>
          <w:color w:val="000000" w:themeColor="text1"/>
          <w:lang w:val="hy-AM"/>
        </w:rPr>
        <w:t>․</w:t>
      </w:r>
      <w:r w:rsidRPr="00E35298">
        <w:rPr>
          <w:rStyle w:val="normaltextrun"/>
          <w:rFonts w:ascii="GHEA Grapalat" w:hAnsi="GHEA Grapalat" w:cs="Segoe UI"/>
          <w:color w:val="000000" w:themeColor="text1"/>
          <w:lang w:val="hy-AM"/>
        </w:rPr>
        <w:t xml:space="preserve"> մշակվել և ՀՀ օրենսդրությամբ սահմանված կարգով շրջանառության մեջ են դրվել պետական անշարժ գույքի օտարման մասին ՀՀ կառավարության որոշման 39 նախագիծ, որից 31-ը ընդունվել է, 5-ը ներկայացվել է ՀՀ կառավարության քննարկմանը, 3-ը՝ շրջանառության մեջ է դրվել։ Նշված նախագծերով օտարման է ներկայացվել 40 անվանում անշարժ գույք (ըստ օտարման ձևի՝ 23-ն՝ աճուրդ, 4-ն՝ ուղղակի վաճառք, 13-ը՝ մրցույթ): ՀՀ կառավարության 33 որոշումների համաձայն (որից 2-ը 2022թ.-ին ընդունված) 16 անվանում անշարժ գույք օտարվել է):</w:t>
      </w:r>
    </w:p>
    <w:p w14:paraId="565FB7AB" w14:textId="77777777" w:rsidR="008C1D9C" w:rsidRPr="00E35298" w:rsidRDefault="008C1D9C" w:rsidP="008C1D9C">
      <w:pPr>
        <w:spacing w:line="360" w:lineRule="auto"/>
        <w:ind w:firstLine="720"/>
        <w:jc w:val="both"/>
        <w:rPr>
          <w:rFonts w:ascii="GHEA Grapalat" w:hAnsi="GHEA Grapalat"/>
          <w:lang w:val="af-ZA"/>
        </w:rPr>
      </w:pPr>
      <w:r w:rsidRPr="00E35298">
        <w:rPr>
          <w:rFonts w:ascii="GHEA Grapalat" w:hAnsi="GHEA Grapalat"/>
          <w:lang w:val="af-ZA"/>
        </w:rPr>
        <w:t>Կոմիտեի նախագահի կողմից 2023-2024թթ</w:t>
      </w:r>
      <w:r w:rsidRPr="00E35298">
        <w:rPr>
          <w:rFonts w:ascii="MS Mincho" w:eastAsia="MS Mincho" w:hAnsi="MS Mincho" w:cs="MS Mincho" w:hint="eastAsia"/>
          <w:lang w:val="af-ZA"/>
        </w:rPr>
        <w:t>․</w:t>
      </w:r>
      <w:r w:rsidRPr="00E35298">
        <w:rPr>
          <w:rFonts w:ascii="GHEA Grapalat" w:hAnsi="GHEA Grapalat"/>
          <w:lang w:val="af-ZA"/>
        </w:rPr>
        <w:t xml:space="preserve"> հաստատված 11 հրամանների համաձայն օտարման է ներկայացվել 10 անվանում անշարժ գույք (ըստ օտարման ձևի՝ աճուրդ)։ (Նախորդ տարվա </w:t>
      </w:r>
      <w:r w:rsidRPr="00E35298">
        <w:rPr>
          <w:rFonts w:ascii="GHEA Grapalat" w:hAnsi="GHEA Grapalat"/>
          <w:lang w:val="af-ZA"/>
        </w:rPr>
        <w:lastRenderedPageBreak/>
        <w:t>նույն ժամանակահատվածում Կոմիտեի նախագահի կողմից հաստատված 20 հրամանի համաձայն օտարման է ներկայացվել 26 անվանում անշարժ գույք, որից 15-ը օտարվել է (ըստ օտարման ձևի՝ աճուրդ)։</w:t>
      </w:r>
    </w:p>
    <w:p w14:paraId="5EDFCA44" w14:textId="77777777" w:rsidR="008C1D9C" w:rsidRPr="00E35298" w:rsidRDefault="008C1D9C" w:rsidP="008C1D9C">
      <w:pPr>
        <w:tabs>
          <w:tab w:val="left" w:pos="567"/>
        </w:tabs>
        <w:spacing w:line="360" w:lineRule="auto"/>
        <w:ind w:firstLine="720"/>
        <w:jc w:val="both"/>
        <w:rPr>
          <w:rFonts w:ascii="GHEA Grapalat" w:hAnsi="GHEA Grapalat"/>
          <w:lang w:val="af-ZA"/>
        </w:rPr>
      </w:pPr>
      <w:r w:rsidRPr="00E35298">
        <w:rPr>
          <w:rFonts w:ascii="GHEA Grapalat" w:hAnsi="GHEA Grapalat"/>
          <w:lang w:val="af-ZA"/>
        </w:rPr>
        <w:t xml:space="preserve">Կոմիտեի նախագահի կողմից հաստատվել է շարժական գույքի աճուրդով օտարման վերաբերյալ 50 հրաման: Նշված հրամաններով օտարման է ներկայացվել 145 միավոր տրանսպորտային միջոց, 1240 անվանում այլ շարժական գույք և պետական սեփականություն հանդիսացող շենքի վերանորոգման արդյունքում առաջացած 75 միավոր պիտանի գույք և 220,299 կիլոգրամ մետաղի ջարդոն: (Նախորդ տարվա նույն ժամանակահատվածում Կոմիտեի նախագահի կողմից հաստատվել է շարժական գույքի աճուրդով օտարման վերաբերյալ 111 հրաման: Նշված հրամաններով օտարման է ներկայացվել 513 միավոր տրանսպորտային միջոց, 2205 միավոր այլ շարժական գույք և պետական սեփականություն հանդիսացող շենքերի վերանորոգման արդյունքում առաջացած 93 անվանում պիտանի գույք): </w:t>
      </w:r>
    </w:p>
    <w:p w14:paraId="3F24565B" w14:textId="78261098" w:rsidR="005F15D2" w:rsidRPr="00E35298" w:rsidRDefault="00212787" w:rsidP="0045535C">
      <w:pPr>
        <w:spacing w:line="360" w:lineRule="auto"/>
        <w:ind w:firstLine="567"/>
        <w:jc w:val="both"/>
        <w:rPr>
          <w:rFonts w:ascii="GHEA Grapalat" w:hAnsi="GHEA Grapalat"/>
          <w:i/>
          <w:lang w:val="hy-AM"/>
        </w:rPr>
      </w:pPr>
      <w:r w:rsidRPr="00E35298">
        <w:rPr>
          <w:rFonts w:ascii="GHEA Grapalat" w:hAnsi="GHEA Grapalat"/>
          <w:lang w:val="hy-AM"/>
        </w:rPr>
        <w:t xml:space="preserve">Պետական գույքի վարձակալության տրամադրման ոլորտում կնքվել են թվով </w:t>
      </w:r>
      <w:r w:rsidR="00E35298" w:rsidRPr="00E35298">
        <w:rPr>
          <w:rFonts w:ascii="GHEA Grapalat" w:hAnsi="GHEA Grapalat"/>
          <w:b/>
          <w:bCs/>
          <w:lang w:val="hy-AM"/>
        </w:rPr>
        <w:t xml:space="preserve">235 </w:t>
      </w:r>
      <w:r w:rsidRPr="00E35298">
        <w:rPr>
          <w:rFonts w:ascii="GHEA Grapalat" w:hAnsi="GHEA Grapalat"/>
          <w:lang w:val="hy-AM"/>
        </w:rPr>
        <w:t xml:space="preserve">ոչ բնակելի տարածքի վարձակալության պայմանագիր, ոչ բնակելի տարածքի վարձակալության պայմանագրում փոփոխություն կատարելու մասին թվով </w:t>
      </w:r>
      <w:r w:rsidR="00E35298" w:rsidRPr="00E35298">
        <w:rPr>
          <w:rFonts w:ascii="GHEA Grapalat" w:hAnsi="GHEA Grapalat"/>
          <w:b/>
          <w:bCs/>
          <w:lang w:val="hy-AM"/>
        </w:rPr>
        <w:t>57</w:t>
      </w:r>
      <w:r w:rsidR="00151289" w:rsidRPr="00E35298">
        <w:rPr>
          <w:rFonts w:ascii="GHEA Grapalat" w:hAnsi="GHEA Grapalat"/>
          <w:b/>
          <w:bCs/>
          <w:lang w:val="hy-AM"/>
        </w:rPr>
        <w:t xml:space="preserve"> </w:t>
      </w:r>
      <w:r w:rsidRPr="00E35298">
        <w:rPr>
          <w:rFonts w:ascii="GHEA Grapalat" w:hAnsi="GHEA Grapalat"/>
          <w:lang w:val="hy-AM"/>
        </w:rPr>
        <w:t xml:space="preserve">համաձայնագիր, դադարեցվել է թվով </w:t>
      </w:r>
      <w:r w:rsidR="00E35298" w:rsidRPr="00E35298">
        <w:rPr>
          <w:rFonts w:ascii="GHEA Grapalat" w:hAnsi="GHEA Grapalat"/>
          <w:b/>
          <w:bCs/>
          <w:lang w:val="hy-AM"/>
        </w:rPr>
        <w:t>15</w:t>
      </w:r>
      <w:r w:rsidR="00023775">
        <w:rPr>
          <w:rFonts w:ascii="GHEA Grapalat" w:hAnsi="GHEA Grapalat"/>
          <w:b/>
          <w:bCs/>
          <w:lang w:val="hy-AM"/>
        </w:rPr>
        <w:t>5</w:t>
      </w:r>
      <w:r w:rsidRPr="00E35298">
        <w:rPr>
          <w:rFonts w:ascii="GHEA Grapalat" w:hAnsi="GHEA Grapalat"/>
          <w:lang w:val="hy-AM"/>
        </w:rPr>
        <w:t xml:space="preserve"> ոչ բնակելի տարածքի վարձակալության պայմանագիր:</w:t>
      </w:r>
      <w:r w:rsidR="005F15D2" w:rsidRPr="00E35298">
        <w:rPr>
          <w:rFonts w:ascii="GHEA Grapalat" w:hAnsi="GHEA Grapalat"/>
          <w:lang w:val="hy-AM"/>
        </w:rPr>
        <w:t xml:space="preserve"> </w:t>
      </w:r>
      <w:r w:rsidR="005F15D2" w:rsidRPr="00E35298">
        <w:rPr>
          <w:rFonts w:ascii="GHEA Grapalat" w:hAnsi="GHEA Grapalat"/>
          <w:i/>
          <w:lang w:val="hy-AM"/>
        </w:rPr>
        <w:t>(202</w:t>
      </w:r>
      <w:r w:rsidR="00E35298" w:rsidRPr="00E35298">
        <w:rPr>
          <w:rFonts w:ascii="GHEA Grapalat" w:hAnsi="GHEA Grapalat"/>
          <w:i/>
          <w:lang w:val="hy-AM"/>
        </w:rPr>
        <w:t>3</w:t>
      </w:r>
      <w:r w:rsidR="005F15D2" w:rsidRPr="00E35298">
        <w:rPr>
          <w:rFonts w:ascii="GHEA Grapalat" w:hAnsi="GHEA Grapalat"/>
          <w:i/>
          <w:lang w:val="hy-AM"/>
        </w:rPr>
        <w:t xml:space="preserve"> թվականի ընթացքում՝ կնքվել են թվով </w:t>
      </w:r>
      <w:r w:rsidR="00E35298" w:rsidRPr="00E35298">
        <w:rPr>
          <w:rFonts w:ascii="GHEA Grapalat" w:hAnsi="GHEA Grapalat"/>
          <w:b/>
          <w:bCs/>
          <w:i/>
          <w:lang w:val="hy-AM"/>
        </w:rPr>
        <w:t>190</w:t>
      </w:r>
      <w:r w:rsidR="005F15D2" w:rsidRPr="00E35298">
        <w:rPr>
          <w:rFonts w:ascii="GHEA Grapalat" w:hAnsi="GHEA Grapalat"/>
          <w:i/>
          <w:lang w:val="hy-AM"/>
        </w:rPr>
        <w:t xml:space="preserve"> ոչ բնակելի տարածքի վարձակալության պայմանագիր, ոչ բնակելի տարածքի վարձակալության պայմանագրում փոփոխություն կատարելու մասին թվով </w:t>
      </w:r>
      <w:r w:rsidR="00E35298" w:rsidRPr="00E35298">
        <w:rPr>
          <w:rFonts w:ascii="GHEA Grapalat" w:hAnsi="GHEA Grapalat"/>
          <w:b/>
          <w:bCs/>
          <w:i/>
          <w:lang w:val="hy-AM"/>
        </w:rPr>
        <w:t xml:space="preserve">37 </w:t>
      </w:r>
      <w:r w:rsidR="005F15D2" w:rsidRPr="00E35298">
        <w:rPr>
          <w:rFonts w:ascii="GHEA Grapalat" w:hAnsi="GHEA Grapalat"/>
          <w:i/>
          <w:lang w:val="hy-AM"/>
        </w:rPr>
        <w:t xml:space="preserve">համաձայնագիր, դադարեցվել է թվով </w:t>
      </w:r>
      <w:r w:rsidR="00E35298" w:rsidRPr="00E35298">
        <w:rPr>
          <w:rFonts w:ascii="GHEA Grapalat" w:hAnsi="GHEA Grapalat"/>
          <w:b/>
          <w:bCs/>
          <w:i/>
          <w:lang w:val="hy-AM"/>
        </w:rPr>
        <w:t>88</w:t>
      </w:r>
      <w:r w:rsidR="005F15D2" w:rsidRPr="00E35298">
        <w:rPr>
          <w:rFonts w:ascii="GHEA Grapalat" w:hAnsi="GHEA Grapalat"/>
          <w:i/>
          <w:lang w:val="hy-AM"/>
        </w:rPr>
        <w:t xml:space="preserve"> ոչ բնակելի տարածքի վարձակալության պայմանագիր):  </w:t>
      </w:r>
    </w:p>
    <w:p w14:paraId="7011C563" w14:textId="27E4DF82" w:rsidR="00B13D46" w:rsidRPr="00E870BE" w:rsidRDefault="00B13D46" w:rsidP="0045535C">
      <w:pPr>
        <w:spacing w:line="360" w:lineRule="auto"/>
        <w:ind w:firstLine="567"/>
        <w:jc w:val="both"/>
        <w:rPr>
          <w:rStyle w:val="normaltextrun"/>
          <w:rFonts w:ascii="GHEA Grapalat" w:hAnsi="GHEA Grapalat" w:cs="Segoe UI"/>
          <w:lang w:val="hy-AM"/>
        </w:rPr>
      </w:pPr>
      <w:r w:rsidRPr="00E870BE">
        <w:rPr>
          <w:rStyle w:val="normaltextrun"/>
          <w:rFonts w:ascii="GHEA Grapalat" w:hAnsi="GHEA Grapalat" w:cs="Segoe UI"/>
          <w:lang w:val="hy-AM"/>
        </w:rPr>
        <w:t xml:space="preserve">Կոմիտեի կողմից մշակվել և շրջանառության մեջ են դրվել </w:t>
      </w:r>
      <w:r w:rsidRPr="00E870BE">
        <w:rPr>
          <w:rStyle w:val="normaltextrun"/>
          <w:rFonts w:ascii="GHEA Grapalat" w:hAnsi="GHEA Grapalat" w:cs="Segoe UI"/>
          <w:b/>
          <w:lang w:val="hy-AM"/>
        </w:rPr>
        <w:t xml:space="preserve">պետական գույքի տնօրինման վերաբերյալ </w:t>
      </w:r>
      <w:r w:rsidRPr="00E870BE">
        <w:rPr>
          <w:rStyle w:val="normaltextrun"/>
          <w:rFonts w:ascii="GHEA Grapalat" w:hAnsi="GHEA Grapalat" w:cs="Segoe UI"/>
          <w:lang w:val="hy-AM"/>
        </w:rPr>
        <w:t xml:space="preserve">Կոմիտեի նախագահի </w:t>
      </w:r>
      <w:r w:rsidR="00E870BE" w:rsidRPr="00E870BE">
        <w:rPr>
          <w:rStyle w:val="normaltextrun"/>
          <w:rFonts w:ascii="GHEA Grapalat" w:hAnsi="GHEA Grapalat" w:cs="Segoe UI"/>
          <w:lang w:val="hy-AM"/>
        </w:rPr>
        <w:t>135</w:t>
      </w:r>
      <w:r w:rsidRPr="00E870BE">
        <w:rPr>
          <w:rStyle w:val="normaltextrun"/>
          <w:rFonts w:ascii="GHEA Grapalat" w:hAnsi="GHEA Grapalat" w:cs="Segoe UI"/>
          <w:lang w:val="hy-AM"/>
        </w:rPr>
        <w:t xml:space="preserve"> հրաման</w:t>
      </w:r>
      <w:r w:rsidR="00167C16" w:rsidRPr="00E870BE">
        <w:rPr>
          <w:rStyle w:val="normaltextrun"/>
          <w:rFonts w:ascii="GHEA Grapalat" w:hAnsi="GHEA Grapalat" w:cs="Segoe UI"/>
          <w:lang w:val="hy-AM"/>
        </w:rPr>
        <w:t>ի նախագիծ</w:t>
      </w:r>
      <w:r w:rsidRPr="00E870BE">
        <w:rPr>
          <w:rStyle w:val="normaltextrun"/>
          <w:rFonts w:ascii="GHEA Grapalat" w:hAnsi="GHEA Grapalat" w:cs="Segoe UI"/>
          <w:lang w:val="hy-AM"/>
        </w:rPr>
        <w:t xml:space="preserve"> և ՀՀ կառավարության </w:t>
      </w:r>
      <w:r w:rsidR="00E870BE" w:rsidRPr="00E870BE">
        <w:rPr>
          <w:rStyle w:val="normaltextrun"/>
          <w:rFonts w:ascii="GHEA Grapalat" w:hAnsi="GHEA Grapalat" w:cs="Segoe UI"/>
          <w:lang w:val="hy-AM"/>
        </w:rPr>
        <w:t>224</w:t>
      </w:r>
      <w:r w:rsidRPr="00E870BE">
        <w:rPr>
          <w:rStyle w:val="normaltextrun"/>
          <w:rFonts w:ascii="GHEA Grapalat" w:hAnsi="GHEA Grapalat" w:cs="Segoe UI"/>
          <w:lang w:val="hy-AM"/>
        </w:rPr>
        <w:t xml:space="preserve"> որոշման նախագիծ (2023թ-ի ընթացքում</w:t>
      </w:r>
      <w:r w:rsidR="00726217" w:rsidRPr="00E870BE">
        <w:rPr>
          <w:rStyle w:val="normaltextrun"/>
          <w:rFonts w:ascii="GHEA Grapalat" w:hAnsi="GHEA Grapalat" w:cs="Segoe UI"/>
          <w:lang w:val="hy-AM"/>
        </w:rPr>
        <w:t>՝</w:t>
      </w:r>
      <w:r w:rsidRPr="00E870BE">
        <w:rPr>
          <w:rStyle w:val="normaltextrun"/>
          <w:rFonts w:ascii="GHEA Grapalat" w:hAnsi="GHEA Grapalat" w:cs="Segoe UI"/>
          <w:lang w:val="hy-AM"/>
        </w:rPr>
        <w:t xml:space="preserve"> Կոմիտեի նախագահի </w:t>
      </w:r>
      <w:r w:rsidR="00E870BE" w:rsidRPr="00E870BE">
        <w:rPr>
          <w:rStyle w:val="normaltextrun"/>
          <w:rFonts w:ascii="GHEA Grapalat" w:hAnsi="GHEA Grapalat" w:cs="Segoe UI"/>
          <w:lang w:val="hy-AM"/>
        </w:rPr>
        <w:t>115</w:t>
      </w:r>
      <w:r w:rsidRPr="00E870BE">
        <w:rPr>
          <w:rStyle w:val="normaltextrun"/>
          <w:rFonts w:ascii="GHEA Grapalat" w:hAnsi="GHEA Grapalat" w:cs="Segoe UI"/>
          <w:lang w:val="hy-AM"/>
        </w:rPr>
        <w:t xml:space="preserve"> հրաման և </w:t>
      </w:r>
      <w:r w:rsidR="00E870BE" w:rsidRPr="00E870BE">
        <w:rPr>
          <w:rStyle w:val="normaltextrun"/>
          <w:rFonts w:ascii="GHEA Grapalat" w:hAnsi="GHEA Grapalat" w:cs="Segoe UI"/>
          <w:lang w:val="hy-AM"/>
        </w:rPr>
        <w:t>20</w:t>
      </w:r>
      <w:r w:rsidRPr="00E870BE">
        <w:rPr>
          <w:rStyle w:val="normaltextrun"/>
          <w:rFonts w:ascii="GHEA Grapalat" w:hAnsi="GHEA Grapalat" w:cs="Segoe UI"/>
          <w:lang w:val="hy-AM"/>
        </w:rPr>
        <w:t xml:space="preserve">8 ՀՀ կառավարության որոշման  նախագիծ): </w:t>
      </w:r>
    </w:p>
    <w:p w14:paraId="6E9B29C3" w14:textId="67ECA062" w:rsidR="00D602EE" w:rsidRPr="00D602EE" w:rsidRDefault="00D602EE" w:rsidP="00D602EE">
      <w:pPr>
        <w:tabs>
          <w:tab w:val="left" w:pos="-270"/>
        </w:tabs>
        <w:spacing w:line="360" w:lineRule="auto"/>
        <w:ind w:firstLine="720"/>
        <w:jc w:val="both"/>
        <w:rPr>
          <w:rStyle w:val="normaltextrun"/>
          <w:rFonts w:ascii="GHEA Grapalat" w:hAnsi="GHEA Grapalat" w:cs="Segoe UI"/>
          <w:lang w:val="hy-AM"/>
        </w:rPr>
      </w:pPr>
      <w:r w:rsidRPr="00D602EE">
        <w:rPr>
          <w:rStyle w:val="normaltextrun"/>
          <w:rFonts w:ascii="GHEA Grapalat" w:hAnsi="GHEA Grapalat" w:cs="Segoe UI"/>
          <w:lang w:val="hy-AM"/>
        </w:rPr>
        <w:t>195 միավոր գույքի նկատմամբ կատարվել են իրավունքի պետական գրանցման աշխատանքներ, 342 միավոր անշարժ գույքի նկատմամբ կատարվել են սխալների և վրիպակների ուղղման, նոր վկայականների և հասցեների գրանցման աշխատանքներ, 130 միավոր անշարժ գույքի վերաբերյալ պահանջվել են միասնական տեղեկանքներ</w:t>
      </w:r>
      <w:r>
        <w:rPr>
          <w:rStyle w:val="normaltextrun"/>
          <w:rFonts w:ascii="GHEA Grapalat" w:hAnsi="GHEA Grapalat" w:cs="Segoe UI"/>
          <w:lang w:val="hy-AM"/>
        </w:rPr>
        <w:t xml:space="preserve"> </w:t>
      </w:r>
      <w:r w:rsidRPr="00D602EE">
        <w:rPr>
          <w:rStyle w:val="normaltextrun"/>
          <w:rFonts w:ascii="GHEA Grapalat" w:hAnsi="GHEA Grapalat" w:cs="Segoe UI"/>
          <w:lang w:val="hy-AM"/>
        </w:rPr>
        <w:t xml:space="preserve"> (2023թ-ի ընթացքում՝ 119 միավոր գույքի և 88 միավոր ավտոմեքենաների նկատմամբ իրավունքի պետական գրանցման աշխատանքներ, 265 միավոր անշարժ գույքի նկատմամբ կատարվել են սխալների և վրիպակների ուղղման, նոր վկայականների և հասցեների գրանցման աշխատանքներ, 126 միավոր անշարժ գույքի վերաբերյալ պահանջվել են միասնական տեղեկանքներ):</w:t>
      </w:r>
    </w:p>
    <w:p w14:paraId="76C6D993" w14:textId="78A61FA3" w:rsidR="00B63212" w:rsidRPr="001D26F6" w:rsidRDefault="00A85916" w:rsidP="00B63212">
      <w:pPr>
        <w:tabs>
          <w:tab w:val="left" w:pos="-270"/>
        </w:tabs>
        <w:spacing w:line="360" w:lineRule="auto"/>
        <w:ind w:firstLine="567"/>
        <w:jc w:val="both"/>
        <w:rPr>
          <w:rStyle w:val="normaltextrun"/>
          <w:rFonts w:ascii="GHEA Grapalat" w:hAnsi="GHEA Grapalat" w:cs="Segoe UI"/>
          <w:lang w:val="hy-AM"/>
        </w:rPr>
      </w:pPr>
      <w:r w:rsidRPr="00B63212">
        <w:rPr>
          <w:rStyle w:val="normaltextrun"/>
          <w:rFonts w:ascii="GHEA Grapalat" w:hAnsi="GHEA Grapalat" w:cs="Segoe UI"/>
          <w:lang w:val="hy-AM"/>
        </w:rPr>
        <w:lastRenderedPageBreak/>
        <w:t xml:space="preserve"> </w:t>
      </w:r>
      <w:r w:rsidR="00B63212" w:rsidRPr="001D26F6">
        <w:rPr>
          <w:rStyle w:val="normaltextrun"/>
          <w:rFonts w:ascii="GHEA Grapalat" w:hAnsi="GHEA Grapalat" w:cs="Segoe UI"/>
          <w:lang w:val="hy-AM"/>
        </w:rPr>
        <w:t>Հաշվետու ժամանակահատվածում՝ Կոմիտեի կողմից նախապատրաստվել և դատական ատյաններ է ներկայացվել՝ 1 սնանկության պահանջ, սնանկ ճանաչելու մասին 1 դիմում, 34 հայցադիմում, 2 հայցադիմումի պատասխան, 16 գրավոր առարկություն, 5 վերաքննիչ բողոք, 7 վերաքննիչ բողոքի պատասխան, 4 վճռաբեկ բողոք ։ (2023 թվականի ընթացքում՝ 21 հայցադիմում, 2 հայցադիմումի պատասխան, 16 գրավոր առարկություն, 12  վերաքննիչ բողոք, 2 վերաքննիչ բողոքի պատասխան, 4 վճռաբեկ բողոք)։</w:t>
      </w:r>
    </w:p>
    <w:p w14:paraId="438F75FC" w14:textId="77777777" w:rsidR="008C1D9C" w:rsidRPr="00E35298" w:rsidRDefault="008C1D9C" w:rsidP="008C1D9C">
      <w:pPr>
        <w:spacing w:line="360" w:lineRule="auto"/>
        <w:ind w:firstLine="720"/>
        <w:jc w:val="both"/>
        <w:rPr>
          <w:rFonts w:ascii="GHEA Grapalat" w:hAnsi="GHEA Grapalat" w:cs="Arial Unicode"/>
          <w:i/>
          <w:lang w:val="hy-AM"/>
        </w:rPr>
      </w:pPr>
      <w:r w:rsidRPr="00E35298">
        <w:rPr>
          <w:rFonts w:ascii="GHEA Grapalat" w:hAnsi="GHEA Grapalat" w:cs="Arial Unicode"/>
          <w:b/>
          <w:lang w:val="hy-AM"/>
        </w:rPr>
        <w:t>Պետական գույքի (այդ թվում նաև հողի) օտարումից</w:t>
      </w:r>
      <w:r w:rsidRPr="00E35298">
        <w:rPr>
          <w:rFonts w:ascii="GHEA Grapalat" w:hAnsi="GHEA Grapalat" w:cs="Arial Unicode"/>
          <w:lang w:val="hy-AM"/>
        </w:rPr>
        <w:t xml:space="preserve"> </w:t>
      </w:r>
      <w:r w:rsidRPr="00E35298">
        <w:rPr>
          <w:rFonts w:ascii="GHEA Grapalat" w:hAnsi="GHEA Grapalat"/>
          <w:lang w:val="hy-AM"/>
        </w:rPr>
        <w:t xml:space="preserve">ստացված միջոցները կազմել են 17,197,009.4 հազ.դրամ կամ 2023թ.-ի նույն ժամանակահատվածի 10,638,138.8 </w:t>
      </w:r>
      <w:r w:rsidRPr="00E35298">
        <w:rPr>
          <w:rFonts w:ascii="GHEA Grapalat" w:hAnsi="GHEA Grapalat" w:cs="Arial Unicode"/>
          <w:lang w:val="hy-AM"/>
        </w:rPr>
        <w:t>հազ.դրամի համեմատ աճը կազմում է 61.65 %, որից՝ ՀՀ պետական բյուջե է մուտքագրվել 15,759,752.3</w:t>
      </w:r>
      <w:r w:rsidRPr="00E35298">
        <w:rPr>
          <w:rFonts w:ascii="GHEA Grapalat" w:hAnsi="GHEA Grapalat"/>
          <w:lang w:val="hy-AM"/>
        </w:rPr>
        <w:t xml:space="preserve"> </w:t>
      </w:r>
      <w:r w:rsidRPr="00E35298">
        <w:rPr>
          <w:rFonts w:ascii="GHEA Grapalat" w:hAnsi="GHEA Grapalat" w:cs="Arial Unicode"/>
          <w:lang w:val="hy-AM"/>
        </w:rPr>
        <w:t xml:space="preserve">հազ.դրամ կամ </w:t>
      </w:r>
      <w:r w:rsidRPr="00E35298">
        <w:rPr>
          <w:rFonts w:ascii="GHEA Grapalat" w:hAnsi="GHEA Grapalat"/>
          <w:lang w:val="hy-AM"/>
        </w:rPr>
        <w:t>2023թ.-ի նույն ժամանակահատվածի 9,467,474.8</w:t>
      </w:r>
      <w:r w:rsidRPr="00E35298">
        <w:rPr>
          <w:rFonts w:ascii="GHEA Grapalat" w:hAnsi="GHEA Grapalat" w:cs="Arial Unicode"/>
          <w:lang w:val="hy-AM"/>
        </w:rPr>
        <w:t xml:space="preserve">  հազ.դրամի համեմատ աճել է 66.46 %-ով, իսկ համապատասխան համայնքային բյուջեներ՝ 1,437,257.2 հազ.դրամ կամ </w:t>
      </w:r>
      <w:r w:rsidRPr="00E35298">
        <w:rPr>
          <w:rFonts w:ascii="GHEA Grapalat" w:hAnsi="GHEA Grapalat"/>
          <w:lang w:val="hy-AM"/>
        </w:rPr>
        <w:t>2023թ.-ի նույն ժամանակահատվածի 1,170,664.0</w:t>
      </w:r>
      <w:r w:rsidRPr="00E35298">
        <w:rPr>
          <w:rFonts w:ascii="GHEA Grapalat" w:hAnsi="GHEA Grapalat" w:cs="Arial Unicode"/>
          <w:lang w:val="hy-AM"/>
        </w:rPr>
        <w:t xml:space="preserve"> հազ.դրամի համեմատ աճել է   22.77 %-ով: </w:t>
      </w:r>
    </w:p>
    <w:p w14:paraId="71AE201B" w14:textId="77777777" w:rsidR="008C1D9C" w:rsidRPr="00E35298" w:rsidRDefault="008C1D9C" w:rsidP="008C1D9C">
      <w:pPr>
        <w:spacing w:line="360" w:lineRule="auto"/>
        <w:ind w:firstLine="720"/>
        <w:jc w:val="both"/>
        <w:rPr>
          <w:rFonts w:ascii="GHEA Grapalat" w:hAnsi="GHEA Grapalat"/>
          <w:b/>
          <w:i/>
          <w:lang w:val="hy-AM"/>
        </w:rPr>
      </w:pPr>
      <w:r w:rsidRPr="00E35298">
        <w:rPr>
          <w:rFonts w:ascii="GHEA Grapalat" w:hAnsi="GHEA Grapalat" w:cs="Arial Unicode"/>
          <w:b/>
          <w:lang w:val="hy-AM"/>
        </w:rPr>
        <w:t>Պետական գույքի մասնավորեցումից</w:t>
      </w:r>
      <w:r w:rsidRPr="00E35298">
        <w:rPr>
          <w:rFonts w:ascii="GHEA Grapalat" w:hAnsi="GHEA Grapalat" w:cs="Arial Unicode"/>
          <w:lang w:val="hy-AM"/>
        </w:rPr>
        <w:t xml:space="preserve"> </w:t>
      </w:r>
      <w:r w:rsidRPr="00E35298">
        <w:rPr>
          <w:rFonts w:ascii="GHEA Grapalat" w:hAnsi="GHEA Grapalat"/>
          <w:lang w:val="hy-AM"/>
        </w:rPr>
        <w:t xml:space="preserve">ստացված միջոցները կազմել են 321,688.9 հազ.դրամ </w:t>
      </w:r>
      <w:r w:rsidRPr="00E35298">
        <w:rPr>
          <w:rFonts w:ascii="GHEA Grapalat" w:hAnsi="GHEA Grapalat" w:cs="Arial Unicode"/>
          <w:lang w:val="hy-AM"/>
        </w:rPr>
        <w:t xml:space="preserve">կամ </w:t>
      </w:r>
      <w:r w:rsidRPr="00E35298">
        <w:rPr>
          <w:rFonts w:ascii="GHEA Grapalat" w:hAnsi="GHEA Grapalat"/>
          <w:lang w:val="hy-AM"/>
        </w:rPr>
        <w:t xml:space="preserve">2023թ.-ի նույն ժամանակահատվածի 3,790,321.6 </w:t>
      </w:r>
      <w:r w:rsidRPr="00E35298">
        <w:rPr>
          <w:rFonts w:ascii="GHEA Grapalat" w:hAnsi="GHEA Grapalat" w:cs="Arial Unicode"/>
          <w:lang w:val="hy-AM"/>
        </w:rPr>
        <w:t xml:space="preserve">հազ.դրամի համեմատ նվազել է  91.51 %-ով, </w:t>
      </w:r>
      <w:r w:rsidRPr="00E35298">
        <w:rPr>
          <w:rFonts w:ascii="GHEA Grapalat" w:hAnsi="GHEA Grapalat"/>
          <w:lang w:val="hy-AM"/>
        </w:rPr>
        <w:t xml:space="preserve">որից՝ ՀՀ պետական բյուջե է փոխանցվել 226,971.2 հազ.դրամ </w:t>
      </w:r>
      <w:r w:rsidRPr="00E35298">
        <w:rPr>
          <w:rFonts w:ascii="GHEA Grapalat" w:hAnsi="GHEA Grapalat" w:cs="Arial Unicode"/>
          <w:lang w:val="hy-AM"/>
        </w:rPr>
        <w:t xml:space="preserve">կամ </w:t>
      </w:r>
      <w:r w:rsidRPr="00E35298">
        <w:rPr>
          <w:rFonts w:ascii="GHEA Grapalat" w:hAnsi="GHEA Grapalat"/>
          <w:lang w:val="hy-AM"/>
        </w:rPr>
        <w:t xml:space="preserve">2023թ.-ի նույն ժամանակահատվածի 2,673,596.6 </w:t>
      </w:r>
      <w:r w:rsidRPr="00E35298">
        <w:rPr>
          <w:rFonts w:ascii="GHEA Grapalat" w:hAnsi="GHEA Grapalat" w:cs="Arial Unicode"/>
          <w:lang w:val="hy-AM"/>
        </w:rPr>
        <w:t>հազ.դրամի համեմատ նվազել է 91.51 %-ով,</w:t>
      </w:r>
      <w:r w:rsidRPr="00E35298">
        <w:rPr>
          <w:rFonts w:ascii="GHEA Grapalat" w:hAnsi="GHEA Grapalat"/>
          <w:lang w:val="hy-AM"/>
        </w:rPr>
        <w:t xml:space="preserve"> իսկ համապատասխան համայնքային բյուջե՝ 94,717.7 հազ.դրամ </w:t>
      </w:r>
      <w:r w:rsidRPr="00E35298">
        <w:rPr>
          <w:rFonts w:ascii="GHEA Grapalat" w:hAnsi="GHEA Grapalat" w:cs="Arial Unicode"/>
          <w:lang w:val="hy-AM"/>
        </w:rPr>
        <w:t xml:space="preserve">կամ </w:t>
      </w:r>
      <w:r w:rsidRPr="00E35298">
        <w:rPr>
          <w:rFonts w:ascii="GHEA Grapalat" w:hAnsi="GHEA Grapalat"/>
          <w:lang w:val="hy-AM"/>
        </w:rPr>
        <w:t xml:space="preserve">2023թ.-ի նույն ժամանակահատվածի 1,116,725.0 </w:t>
      </w:r>
      <w:r w:rsidRPr="00E35298">
        <w:rPr>
          <w:rFonts w:ascii="GHEA Grapalat" w:hAnsi="GHEA Grapalat" w:cs="Arial Unicode"/>
          <w:lang w:val="hy-AM"/>
        </w:rPr>
        <w:t>հազ.դրամի համեմատ նվազել է 91.52 %-ով</w:t>
      </w:r>
      <w:r w:rsidRPr="00E35298">
        <w:rPr>
          <w:rFonts w:ascii="GHEA Grapalat" w:hAnsi="GHEA Grapalat"/>
          <w:lang w:val="hy-AM"/>
        </w:rPr>
        <w:t>:</w:t>
      </w:r>
      <w:r w:rsidRPr="00E35298">
        <w:rPr>
          <w:rFonts w:ascii="GHEA Grapalat" w:hAnsi="GHEA Grapalat"/>
          <w:b/>
          <w:lang w:val="hy-AM"/>
        </w:rPr>
        <w:t xml:space="preserve"> </w:t>
      </w:r>
    </w:p>
    <w:p w14:paraId="4012AAAA" w14:textId="77777777" w:rsidR="008C1D9C" w:rsidRPr="00E35298" w:rsidRDefault="008C1D9C" w:rsidP="008C1D9C">
      <w:pPr>
        <w:spacing w:line="360" w:lineRule="auto"/>
        <w:ind w:firstLine="720"/>
        <w:jc w:val="both"/>
        <w:rPr>
          <w:rFonts w:ascii="GHEA Grapalat" w:hAnsi="GHEA Grapalat"/>
          <w:i/>
          <w:lang w:val="hy-AM"/>
        </w:rPr>
      </w:pPr>
      <w:r w:rsidRPr="00E35298">
        <w:rPr>
          <w:rFonts w:ascii="GHEA Grapalat" w:hAnsi="GHEA Grapalat" w:cs="Arial Unicode"/>
          <w:b/>
          <w:lang w:val="hy-AM"/>
        </w:rPr>
        <w:t>Պետական գույքի վարձակալությունից</w:t>
      </w:r>
      <w:r w:rsidRPr="00E35298">
        <w:rPr>
          <w:rFonts w:ascii="GHEA Grapalat" w:hAnsi="GHEA Grapalat" w:cs="Arial Unicode"/>
          <w:lang w:val="hy-AM"/>
        </w:rPr>
        <w:t xml:space="preserve"> </w:t>
      </w:r>
      <w:r w:rsidRPr="00E35298">
        <w:rPr>
          <w:rFonts w:ascii="GHEA Grapalat" w:hAnsi="GHEA Grapalat"/>
          <w:lang w:val="hy-AM"/>
        </w:rPr>
        <w:t>փաստացի ՀՀ պետական բյուջե է մուտքագրվել 798,074.4</w:t>
      </w:r>
      <w:r w:rsidRPr="00E35298">
        <w:rPr>
          <w:rFonts w:ascii="GHEA Grapalat" w:hAnsi="GHEA Grapalat" w:cs="Calibri"/>
          <w:b/>
          <w:bCs/>
          <w:lang w:val="hy-AM"/>
        </w:rPr>
        <w:t xml:space="preserve"> </w:t>
      </w:r>
      <w:r w:rsidRPr="00E35298">
        <w:rPr>
          <w:rFonts w:ascii="GHEA Grapalat" w:hAnsi="GHEA Grapalat"/>
          <w:lang w:val="hy-AM"/>
        </w:rPr>
        <w:t xml:space="preserve">հազ.դրամ </w:t>
      </w:r>
      <w:r w:rsidRPr="00E35298">
        <w:rPr>
          <w:rFonts w:ascii="GHEA Grapalat" w:hAnsi="GHEA Grapalat" w:cs="Arial Unicode"/>
          <w:lang w:val="hy-AM"/>
        </w:rPr>
        <w:t xml:space="preserve">կամ </w:t>
      </w:r>
      <w:r w:rsidRPr="00E35298">
        <w:rPr>
          <w:rFonts w:ascii="GHEA Grapalat" w:hAnsi="GHEA Grapalat"/>
          <w:lang w:val="hy-AM"/>
        </w:rPr>
        <w:t>2023թ.-ի նույն ժամանակահատվածի 673,351.4</w:t>
      </w:r>
      <w:r w:rsidRPr="00E35298">
        <w:rPr>
          <w:rFonts w:ascii="GHEA Grapalat" w:hAnsi="GHEA Grapalat" w:cs="Arial Unicode"/>
          <w:lang w:val="hy-AM"/>
        </w:rPr>
        <w:t xml:space="preserve"> հազ.դրամի համեմատ աճել է 18.52 %-ով</w:t>
      </w:r>
      <w:r w:rsidRPr="00E35298">
        <w:rPr>
          <w:rFonts w:ascii="GHEA Grapalat" w:hAnsi="GHEA Grapalat"/>
          <w:lang w:val="hy-AM"/>
        </w:rPr>
        <w:t>:</w:t>
      </w:r>
    </w:p>
    <w:p w14:paraId="272A032B" w14:textId="77777777" w:rsidR="008C1D9C" w:rsidRPr="00E35298" w:rsidRDefault="008C1D9C" w:rsidP="008C1D9C">
      <w:pPr>
        <w:spacing w:line="360" w:lineRule="auto"/>
        <w:ind w:firstLine="720"/>
        <w:jc w:val="both"/>
        <w:rPr>
          <w:rFonts w:ascii="GHEA Grapalat" w:hAnsi="GHEA Grapalat" w:cs="Arial Unicode"/>
          <w:i/>
          <w:lang w:val="hy-AM"/>
        </w:rPr>
      </w:pPr>
      <w:r w:rsidRPr="00E35298">
        <w:rPr>
          <w:rFonts w:ascii="GHEA Grapalat" w:hAnsi="GHEA Grapalat" w:cs="Arial Unicode"/>
          <w:lang w:val="hy-AM"/>
        </w:rPr>
        <w:t xml:space="preserve">ՀՀ պետական սեփականություն հանդիսացող շենքերի և շինությունների տանիքներին ու ձեղնահարկերում </w:t>
      </w:r>
      <w:r w:rsidRPr="00E35298">
        <w:rPr>
          <w:rFonts w:ascii="GHEA Grapalat" w:hAnsi="GHEA Grapalat" w:cs="Arial Unicode"/>
          <w:b/>
          <w:lang w:val="hy-AM"/>
        </w:rPr>
        <w:t xml:space="preserve">կապի սարքավորումների տեղակայման և սպասարկման պայմանագրերից </w:t>
      </w:r>
      <w:r w:rsidRPr="00E35298">
        <w:rPr>
          <w:rFonts w:ascii="GHEA Grapalat" w:hAnsi="GHEA Grapalat"/>
          <w:lang w:val="hy-AM"/>
        </w:rPr>
        <w:t xml:space="preserve">փաստացի </w:t>
      </w:r>
      <w:r w:rsidRPr="00E35298">
        <w:rPr>
          <w:rFonts w:ascii="GHEA Grapalat" w:hAnsi="GHEA Grapalat" w:cs="Arial Unicode"/>
          <w:lang w:val="hy-AM"/>
        </w:rPr>
        <w:t xml:space="preserve">հավաքագրվել է 313,512.1 հազ. դրամ կամ </w:t>
      </w:r>
      <w:r w:rsidRPr="00E35298">
        <w:rPr>
          <w:rFonts w:ascii="GHEA Grapalat" w:hAnsi="GHEA Grapalat"/>
          <w:lang w:val="hy-AM"/>
        </w:rPr>
        <w:t xml:space="preserve">2023թ.-ի նույն ժամանակահատվածի </w:t>
      </w:r>
      <w:r w:rsidRPr="00E35298">
        <w:rPr>
          <w:rFonts w:ascii="GHEA Grapalat" w:hAnsi="GHEA Grapalat" w:cs="Arial Unicode"/>
          <w:lang w:val="hy-AM"/>
        </w:rPr>
        <w:t xml:space="preserve">288,985.3 հազ.դրամի համեմատ աճել է 8.49 %-ով, որից՝ 70,407.9 հազ.դրամը մուտքագրվել է ՀՀ պետական բյուջե (այդ թվում՝ այլ կառավարչական հիմնարկների արտաբյուջեներ) կամ </w:t>
      </w:r>
      <w:r w:rsidRPr="00E35298">
        <w:rPr>
          <w:rFonts w:ascii="GHEA Grapalat" w:hAnsi="GHEA Grapalat"/>
          <w:lang w:val="hy-AM"/>
        </w:rPr>
        <w:t xml:space="preserve">2023թ.-ի նույն ժամանակահատվածի </w:t>
      </w:r>
      <w:r w:rsidRPr="00E35298">
        <w:rPr>
          <w:rFonts w:ascii="GHEA Grapalat" w:hAnsi="GHEA Grapalat" w:cs="Arial Unicode"/>
          <w:lang w:val="hy-AM"/>
        </w:rPr>
        <w:t xml:space="preserve">74,820.1 հազ.դրամի համեմատ նվազել է 5.90 %-ով, համապատասխան ՊՈԱԿ-ների բյուջեներ՝ 240,031.0 հազ. դրամ կամ </w:t>
      </w:r>
      <w:r w:rsidRPr="00E35298">
        <w:rPr>
          <w:rFonts w:ascii="GHEA Grapalat" w:hAnsi="GHEA Grapalat"/>
          <w:lang w:val="hy-AM"/>
        </w:rPr>
        <w:t xml:space="preserve">2023թ.-ի նույն ժամանակահատվածի </w:t>
      </w:r>
      <w:r w:rsidRPr="00E35298">
        <w:rPr>
          <w:rFonts w:ascii="GHEA Grapalat" w:hAnsi="GHEA Grapalat" w:cs="Arial Unicode"/>
          <w:lang w:val="hy-AM"/>
        </w:rPr>
        <w:t>214,165.3 հազ.դրամի համեմատ աճել է 12.08 %-ով:</w:t>
      </w:r>
    </w:p>
    <w:p w14:paraId="39B46C30" w14:textId="643456AE" w:rsidR="008C1D9C" w:rsidRPr="00E35298" w:rsidRDefault="008C1D9C" w:rsidP="008C1D9C">
      <w:pPr>
        <w:pStyle w:val="a3"/>
        <w:tabs>
          <w:tab w:val="left" w:pos="-270"/>
        </w:tabs>
        <w:spacing w:line="360" w:lineRule="auto"/>
        <w:ind w:left="0" w:firstLine="567"/>
        <w:jc w:val="both"/>
        <w:rPr>
          <w:rFonts w:ascii="GHEA Grapalat" w:eastAsia="Calibri" w:hAnsi="GHEA Grapalat" w:cs="Arial Unicode"/>
          <w:lang w:val="hy-AM"/>
        </w:rPr>
      </w:pPr>
      <w:r w:rsidRPr="00E35298">
        <w:rPr>
          <w:rFonts w:ascii="GHEA Grapalat" w:eastAsia="Calibri" w:hAnsi="GHEA Grapalat" w:cs="Arial Unicode"/>
          <w:b/>
          <w:lang w:val="fr-FR"/>
        </w:rPr>
        <w:t>Ամփոփում.</w:t>
      </w:r>
      <w:r w:rsidRPr="00E35298">
        <w:rPr>
          <w:rFonts w:ascii="GHEA Grapalat" w:eastAsia="Calibri" w:hAnsi="GHEA Grapalat" w:cs="Calibri"/>
          <w:lang w:val="fr-FR"/>
        </w:rPr>
        <w:t xml:space="preserve"> </w:t>
      </w:r>
      <w:r w:rsidRPr="00E35298">
        <w:rPr>
          <w:rFonts w:ascii="GHEA Grapalat" w:eastAsia="Calibri" w:hAnsi="GHEA Grapalat" w:cs="Arial Unicode"/>
          <w:lang w:val="hy-AM"/>
        </w:rPr>
        <w:t xml:space="preserve">վերը նշված ուղղություններով ստացված դրամական միջոցները կազմել են 18,630,284.8 հազ.դրամ, որից ՀՀ պետական բյուջե է փոխանցվել 16,855,205.8 հազ.դրամ։ (2023 </w:t>
      </w:r>
      <w:r w:rsidRPr="00E35298">
        <w:rPr>
          <w:rFonts w:ascii="GHEA Grapalat" w:eastAsia="Calibri" w:hAnsi="GHEA Grapalat" w:cs="Arial Unicode"/>
          <w:lang w:val="hy-AM"/>
        </w:rPr>
        <w:lastRenderedPageBreak/>
        <w:t>թվականին նշված ուղղություններով ստացված դրամական միջոցները կազմել են 15,390,797</w:t>
      </w:r>
      <w:r w:rsidRPr="00E35298">
        <w:rPr>
          <w:rFonts w:ascii="MS Mincho" w:eastAsia="MS Mincho" w:hAnsi="MS Mincho" w:cs="MS Mincho" w:hint="eastAsia"/>
          <w:lang w:val="hy-AM"/>
        </w:rPr>
        <w:t>․</w:t>
      </w:r>
      <w:r w:rsidRPr="00E35298">
        <w:rPr>
          <w:rFonts w:ascii="GHEA Grapalat" w:eastAsia="Calibri" w:hAnsi="GHEA Grapalat" w:cs="Arial Unicode"/>
          <w:lang w:val="hy-AM"/>
        </w:rPr>
        <w:t>2 հազ.դրամ, որից ՀՀ պետական բյուջե է փոխանցվել 12,889</w:t>
      </w:r>
      <w:r w:rsidR="00D85619" w:rsidRPr="00D85619">
        <w:rPr>
          <w:rFonts w:ascii="GHEA Grapalat" w:eastAsia="Calibri" w:hAnsi="GHEA Grapalat" w:cs="Arial Unicode"/>
          <w:lang w:val="hy-AM"/>
        </w:rPr>
        <w:t>,242</w:t>
      </w:r>
      <w:r w:rsidR="00D85619" w:rsidRPr="00D85619">
        <w:rPr>
          <w:rFonts w:ascii="GHEA Grapalat" w:eastAsia="Calibri" w:hAnsi="GHEA Grapalat" w:cs="Arial Unicode" w:hint="eastAsia"/>
          <w:lang w:val="hy-AM"/>
        </w:rPr>
        <w:t>․</w:t>
      </w:r>
      <w:r w:rsidR="00D85619" w:rsidRPr="00D85619">
        <w:rPr>
          <w:rFonts w:ascii="GHEA Grapalat" w:eastAsia="Calibri" w:hAnsi="GHEA Grapalat" w:cs="Arial Unicode"/>
          <w:lang w:val="hy-AM"/>
        </w:rPr>
        <w:t>9 հազ.դրամ</w:t>
      </w:r>
      <w:r w:rsidRPr="00E35298">
        <w:rPr>
          <w:rFonts w:ascii="GHEA Grapalat" w:eastAsia="Calibri" w:hAnsi="GHEA Grapalat" w:cs="Arial Unicode"/>
          <w:lang w:val="hy-AM"/>
        </w:rPr>
        <w:t>։</w:t>
      </w:r>
    </w:p>
    <w:p w14:paraId="665A4433" w14:textId="77777777" w:rsidR="008C1D9C" w:rsidRPr="00A84865" w:rsidRDefault="008C1D9C" w:rsidP="008C1D9C">
      <w:pPr>
        <w:pStyle w:val="a3"/>
        <w:tabs>
          <w:tab w:val="left" w:pos="-270"/>
        </w:tabs>
        <w:spacing w:line="360" w:lineRule="auto"/>
        <w:ind w:left="0" w:firstLine="720"/>
        <w:jc w:val="both"/>
        <w:rPr>
          <w:rFonts w:ascii="GHEA Grapalat" w:hAnsi="GHEA Grapalat"/>
          <w:lang w:val="af-ZA"/>
        </w:rPr>
      </w:pPr>
      <w:r w:rsidRPr="00E35298">
        <w:rPr>
          <w:rFonts w:ascii="GHEA Grapalat" w:hAnsi="GHEA Grapalat"/>
          <w:b/>
          <w:bCs/>
          <w:lang w:val="af-ZA"/>
        </w:rPr>
        <w:t xml:space="preserve">Բնակչության սոցիալական խնդիրների լուծման ոլորտում՝ </w:t>
      </w:r>
      <w:r w:rsidRPr="00A84865">
        <w:rPr>
          <w:rFonts w:ascii="GHEA Grapalat" w:hAnsi="GHEA Grapalat"/>
          <w:lang w:val="af-ZA"/>
        </w:rPr>
        <w:t>մշակվել և ՀՀ կառավարության կողմից ընդունվել են 1988-1992 թվականներին Ադրբեջանի Հանրապետությունից բռնագաղթած և ՀՀ քաղաքացիություն ստացած անձանց կողմից զբաղեցրած բնակելի տարածքները սեփականաշնորհելու մասին 1 ՀՀ կառավարության որոշում (6 բնակելի տարածք, 5 ընտանիք, 10 անձ), իսկ տեղաբնակ հանդիսացող ՀՀ քաղաքացիների իրենց կողմից զբաղեցրած բնակելի տարածքները նվիրելու նպատակով` մշակվել և ընդունվել է 2 ՀՀ կառավարության որոշում (10 բնակելի տարածք, 10 ընտանիք, 19 անձ):</w:t>
      </w:r>
    </w:p>
    <w:p w14:paraId="3F150DCC" w14:textId="08638AE3" w:rsidR="001D26F6" w:rsidRPr="001D26F6" w:rsidRDefault="008C1D9C" w:rsidP="001D26F6">
      <w:pPr>
        <w:pStyle w:val="a3"/>
        <w:tabs>
          <w:tab w:val="left" w:pos="-270"/>
        </w:tabs>
        <w:spacing w:line="360" w:lineRule="auto"/>
        <w:ind w:left="0" w:firstLine="720"/>
        <w:jc w:val="both"/>
        <w:rPr>
          <w:rFonts w:ascii="GHEA Grapalat" w:hAnsi="GHEA Grapalat"/>
          <w:lang w:val="hy-AM"/>
        </w:rPr>
      </w:pPr>
      <w:r w:rsidRPr="00E35298">
        <w:rPr>
          <w:rFonts w:ascii="GHEA Grapalat" w:hAnsi="GHEA Grapalat"/>
          <w:b/>
          <w:bCs/>
          <w:lang w:val="af-ZA"/>
        </w:rPr>
        <w:t xml:space="preserve">Պետական գույքային հարաբերությունները կանոնակարգող օրենսդրության բարեփոխման  ոլորտում՝ </w:t>
      </w:r>
      <w:r w:rsidRPr="00E35298">
        <w:rPr>
          <w:rFonts w:ascii="GHEA Grapalat" w:hAnsi="GHEA Grapalat"/>
          <w:lang w:val="af-ZA"/>
        </w:rPr>
        <w:t>ընդունվել է 16 իրավական ակտ, մշակվել և օրենսդրությամբ սահմանված կարգով շրջանառության մեջ է դրվել 8 իրավական ակտի նախագիծ</w:t>
      </w:r>
      <w:r w:rsidR="002109CD" w:rsidRPr="00E35298">
        <w:rPr>
          <w:rFonts w:ascii="GHEA Grapalat" w:hAnsi="GHEA Grapalat"/>
          <w:lang w:val="af-ZA"/>
        </w:rPr>
        <w:t xml:space="preserve"> («Հայաստանի Հանրապետության հողային օրենսգրքում փոփոխություններ և լրացումներ կատարելու մասին», ««Պետական գույքի կառավարման մասին» օրենքում փոփոխություններ կատարելու մասին», «Հայաստանի Հանրապետության վարչատարածքային բաժանման մասին» օրենքում փոփոխություն և լրացում կատարելու մասին», «Հայաստանի Հանրապետության բյուջետային համակարգի մասին» օրենքում լրացումներ կատարելու մասին» օրենքների նախագծերը, «Պետական գույքի կառավարման մասին» նոր օրենքի և հարակից օրենքների նախագծերը,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նախագծերը)</w:t>
      </w:r>
      <w:r w:rsidR="00E848A0" w:rsidRPr="00E35298">
        <w:rPr>
          <w:rFonts w:ascii="GHEA Grapalat" w:hAnsi="GHEA Grapalat"/>
          <w:lang w:val="af-ZA"/>
        </w:rPr>
        <w:t xml:space="preserve">, </w:t>
      </w:r>
      <w:r w:rsidR="00701B9C" w:rsidRPr="00E35298">
        <w:rPr>
          <w:rFonts w:ascii="GHEA Grapalat" w:hAnsi="GHEA Grapalat"/>
          <w:lang w:val="af-ZA"/>
        </w:rPr>
        <w:t>Պետական գույքի կառավարման կոմիտ</w:t>
      </w:r>
      <w:r w:rsidR="00674609" w:rsidRPr="00E35298">
        <w:rPr>
          <w:rFonts w:ascii="GHEA Grapalat" w:hAnsi="GHEA Grapalat"/>
          <w:lang w:val="af-ZA"/>
        </w:rPr>
        <w:t xml:space="preserve">եի նախագահի կողմից հաստատվել է </w:t>
      </w:r>
      <w:r w:rsidR="00832DD1" w:rsidRPr="00E35298">
        <w:rPr>
          <w:rFonts w:ascii="GHEA Grapalat" w:hAnsi="GHEA Grapalat"/>
          <w:lang w:val="af-ZA"/>
        </w:rPr>
        <w:t>12</w:t>
      </w:r>
      <w:r w:rsidR="00903D7D" w:rsidRPr="00E35298">
        <w:rPr>
          <w:rFonts w:ascii="GHEA Grapalat" w:hAnsi="GHEA Grapalat"/>
          <w:lang w:val="af-ZA"/>
        </w:rPr>
        <w:t xml:space="preserve"> </w:t>
      </w:r>
      <w:r w:rsidR="00701B9C" w:rsidRPr="00E35298">
        <w:rPr>
          <w:rFonts w:ascii="GHEA Grapalat" w:hAnsi="GHEA Grapalat"/>
          <w:lang w:val="af-ZA"/>
        </w:rPr>
        <w:t>հրաման</w:t>
      </w:r>
      <w:r w:rsidR="00832DD1" w:rsidRPr="00E35298">
        <w:rPr>
          <w:rFonts w:ascii="GHEA Grapalat" w:hAnsi="GHEA Grapalat"/>
          <w:lang w:val="af-ZA"/>
        </w:rPr>
        <w:t xml:space="preserve"> </w:t>
      </w:r>
      <w:r w:rsidR="00C15D05" w:rsidRPr="00E35298">
        <w:rPr>
          <w:rFonts w:ascii="GHEA Grapalat" w:hAnsi="GHEA Grapalat"/>
          <w:lang w:val="af-ZA"/>
        </w:rPr>
        <w:t xml:space="preserve">(2023թ-ի ընթացքում </w:t>
      </w:r>
      <w:r w:rsidR="005B6680" w:rsidRPr="00E35298">
        <w:rPr>
          <w:rFonts w:ascii="GHEA Grapalat" w:hAnsi="GHEA Grapalat"/>
          <w:lang w:val="af-ZA"/>
        </w:rPr>
        <w:t xml:space="preserve">նախապատրաստվել և օրենսդրությամբ սահմանված կարգով ընդունվել է </w:t>
      </w:r>
      <w:r w:rsidR="001D26F6">
        <w:rPr>
          <w:rFonts w:ascii="GHEA Grapalat" w:hAnsi="GHEA Grapalat"/>
          <w:lang w:val="af-ZA"/>
        </w:rPr>
        <w:t>26</w:t>
      </w:r>
      <w:r w:rsidR="005B6680" w:rsidRPr="00E35298">
        <w:rPr>
          <w:rFonts w:ascii="GHEA Grapalat" w:hAnsi="GHEA Grapalat"/>
          <w:lang w:val="af-ZA"/>
        </w:rPr>
        <w:t xml:space="preserve"> իրավական ակտ </w:t>
      </w:r>
      <w:r w:rsidR="00C15D05" w:rsidRPr="00E35298">
        <w:rPr>
          <w:rFonts w:ascii="GHEA Grapalat" w:hAnsi="GHEA Grapalat"/>
          <w:lang w:val="af-ZA"/>
        </w:rPr>
        <w:t xml:space="preserve">և շրջանառվել է </w:t>
      </w:r>
      <w:r w:rsidR="001D26F6">
        <w:rPr>
          <w:rFonts w:ascii="GHEA Grapalat" w:hAnsi="GHEA Grapalat"/>
          <w:lang w:val="af-ZA"/>
        </w:rPr>
        <w:t xml:space="preserve">15 </w:t>
      </w:r>
      <w:r w:rsidR="00C15D05" w:rsidRPr="00E35298">
        <w:rPr>
          <w:rFonts w:ascii="GHEA Grapalat" w:hAnsi="GHEA Grapalat"/>
          <w:lang w:val="af-ZA"/>
        </w:rPr>
        <w:t xml:space="preserve">իրավական ակտի նախագիծ, Պետական գույքի կառավարման կոմիտեի նախագահի կողմից հաստատվել է </w:t>
      </w:r>
      <w:r w:rsidR="001D26F6">
        <w:rPr>
          <w:rFonts w:ascii="GHEA Grapalat" w:hAnsi="GHEA Grapalat"/>
          <w:lang w:val="af-ZA"/>
        </w:rPr>
        <w:t>10</w:t>
      </w:r>
      <w:r w:rsidR="00C15D05" w:rsidRPr="00E35298">
        <w:rPr>
          <w:rFonts w:ascii="GHEA Grapalat" w:hAnsi="GHEA Grapalat"/>
          <w:lang w:val="af-ZA"/>
        </w:rPr>
        <w:t xml:space="preserve"> հրաման)</w:t>
      </w:r>
      <w:r w:rsidR="00E848A0" w:rsidRPr="00E35298">
        <w:rPr>
          <w:rFonts w:ascii="GHEA Grapalat" w:hAnsi="GHEA Grapalat"/>
          <w:lang w:val="af-ZA"/>
        </w:rPr>
        <w:t xml:space="preserve">: </w:t>
      </w:r>
    </w:p>
    <w:p w14:paraId="69A490B4" w14:textId="25BF143E" w:rsidR="000A08ED" w:rsidRPr="001D26F6" w:rsidRDefault="000A08ED" w:rsidP="00832DD1">
      <w:pPr>
        <w:pStyle w:val="a3"/>
        <w:tabs>
          <w:tab w:val="left" w:pos="-270"/>
        </w:tabs>
        <w:spacing w:line="360" w:lineRule="auto"/>
        <w:ind w:left="0" w:firstLine="720"/>
        <w:jc w:val="both"/>
        <w:rPr>
          <w:rFonts w:ascii="GHEA Grapalat" w:hAnsi="GHEA Grapalat"/>
          <w:lang w:val="hy-AM"/>
        </w:rPr>
      </w:pPr>
    </w:p>
    <w:sectPr w:rsidR="000A08ED" w:rsidRPr="001D26F6" w:rsidSect="00726705">
      <w:pgSz w:w="12240" w:h="15840"/>
      <w:pgMar w:top="270" w:right="47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94568"/>
    <w:multiLevelType w:val="hybridMultilevel"/>
    <w:tmpl w:val="BEA2BC3C"/>
    <w:lvl w:ilvl="0" w:tplc="7BDADE50">
      <w:start w:val="59"/>
      <w:numFmt w:val="bullet"/>
      <w:lvlText w:val="-"/>
      <w:lvlJc w:val="left"/>
      <w:pPr>
        <w:ind w:left="1440" w:hanging="360"/>
      </w:pPr>
      <w:rPr>
        <w:rFonts w:ascii="GHEA Grapalat" w:eastAsia="GHEA Mariam" w:hAnsi="GHEA Grapal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15743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A4"/>
    <w:rsid w:val="00004AD0"/>
    <w:rsid w:val="00007784"/>
    <w:rsid w:val="00013D01"/>
    <w:rsid w:val="00022B46"/>
    <w:rsid w:val="00023775"/>
    <w:rsid w:val="00023F96"/>
    <w:rsid w:val="00025D5B"/>
    <w:rsid w:val="000376E6"/>
    <w:rsid w:val="00040777"/>
    <w:rsid w:val="0004170A"/>
    <w:rsid w:val="00045640"/>
    <w:rsid w:val="000477D1"/>
    <w:rsid w:val="00050159"/>
    <w:rsid w:val="00050886"/>
    <w:rsid w:val="00053FDE"/>
    <w:rsid w:val="00062D44"/>
    <w:rsid w:val="000675F4"/>
    <w:rsid w:val="00072027"/>
    <w:rsid w:val="000765F4"/>
    <w:rsid w:val="00077FF3"/>
    <w:rsid w:val="00085495"/>
    <w:rsid w:val="00090BF8"/>
    <w:rsid w:val="000A08ED"/>
    <w:rsid w:val="000A2775"/>
    <w:rsid w:val="000A64C8"/>
    <w:rsid w:val="000A65B7"/>
    <w:rsid w:val="000A7EA0"/>
    <w:rsid w:val="000B1500"/>
    <w:rsid w:val="000C0621"/>
    <w:rsid w:val="000C15D8"/>
    <w:rsid w:val="000C180D"/>
    <w:rsid w:val="000C6684"/>
    <w:rsid w:val="000D1D3E"/>
    <w:rsid w:val="000D5AF3"/>
    <w:rsid w:val="000D5ED0"/>
    <w:rsid w:val="000E22BF"/>
    <w:rsid w:val="000E30A2"/>
    <w:rsid w:val="001014FF"/>
    <w:rsid w:val="00106D7C"/>
    <w:rsid w:val="00111120"/>
    <w:rsid w:val="00111391"/>
    <w:rsid w:val="00111CDA"/>
    <w:rsid w:val="0011529A"/>
    <w:rsid w:val="00116FFA"/>
    <w:rsid w:val="00117F88"/>
    <w:rsid w:val="00120618"/>
    <w:rsid w:val="001216A1"/>
    <w:rsid w:val="00124207"/>
    <w:rsid w:val="00124C0C"/>
    <w:rsid w:val="001428E7"/>
    <w:rsid w:val="00146E02"/>
    <w:rsid w:val="00151289"/>
    <w:rsid w:val="00153F1D"/>
    <w:rsid w:val="00156FE2"/>
    <w:rsid w:val="00163DB1"/>
    <w:rsid w:val="00167C16"/>
    <w:rsid w:val="00171FC3"/>
    <w:rsid w:val="00172705"/>
    <w:rsid w:val="001731F2"/>
    <w:rsid w:val="0017637C"/>
    <w:rsid w:val="001815F2"/>
    <w:rsid w:val="001819B2"/>
    <w:rsid w:val="0018264C"/>
    <w:rsid w:val="001871F2"/>
    <w:rsid w:val="00195DB9"/>
    <w:rsid w:val="001A143C"/>
    <w:rsid w:val="001A267B"/>
    <w:rsid w:val="001B082F"/>
    <w:rsid w:val="001B2187"/>
    <w:rsid w:val="001B7439"/>
    <w:rsid w:val="001C3E8A"/>
    <w:rsid w:val="001C41C7"/>
    <w:rsid w:val="001C4568"/>
    <w:rsid w:val="001C59F3"/>
    <w:rsid w:val="001C5D1C"/>
    <w:rsid w:val="001C61C1"/>
    <w:rsid w:val="001D26EF"/>
    <w:rsid w:val="001D26F6"/>
    <w:rsid w:val="001D622A"/>
    <w:rsid w:val="001E37B9"/>
    <w:rsid w:val="001F0C61"/>
    <w:rsid w:val="00205749"/>
    <w:rsid w:val="002109CD"/>
    <w:rsid w:val="00212313"/>
    <w:rsid w:val="00212787"/>
    <w:rsid w:val="002130B9"/>
    <w:rsid w:val="00216592"/>
    <w:rsid w:val="00217BA6"/>
    <w:rsid w:val="0022065C"/>
    <w:rsid w:val="00221F9F"/>
    <w:rsid w:val="002243A0"/>
    <w:rsid w:val="0022532B"/>
    <w:rsid w:val="00230265"/>
    <w:rsid w:val="0023208C"/>
    <w:rsid w:val="00236FBD"/>
    <w:rsid w:val="002504CA"/>
    <w:rsid w:val="0026106D"/>
    <w:rsid w:val="00263769"/>
    <w:rsid w:val="00263C15"/>
    <w:rsid w:val="00264522"/>
    <w:rsid w:val="00272228"/>
    <w:rsid w:val="00273793"/>
    <w:rsid w:val="00276011"/>
    <w:rsid w:val="002761E7"/>
    <w:rsid w:val="002806DC"/>
    <w:rsid w:val="002821C7"/>
    <w:rsid w:val="002854D1"/>
    <w:rsid w:val="002862F1"/>
    <w:rsid w:val="0029176B"/>
    <w:rsid w:val="00293B54"/>
    <w:rsid w:val="0029477D"/>
    <w:rsid w:val="002950FD"/>
    <w:rsid w:val="002A4A46"/>
    <w:rsid w:val="002A5145"/>
    <w:rsid w:val="002A5F0B"/>
    <w:rsid w:val="002A6932"/>
    <w:rsid w:val="002A6CA4"/>
    <w:rsid w:val="002B63FD"/>
    <w:rsid w:val="002C114D"/>
    <w:rsid w:val="002C541C"/>
    <w:rsid w:val="002D2C77"/>
    <w:rsid w:val="002E07A0"/>
    <w:rsid w:val="002E6093"/>
    <w:rsid w:val="002E7D61"/>
    <w:rsid w:val="002F1A87"/>
    <w:rsid w:val="002F1D6F"/>
    <w:rsid w:val="002F49AE"/>
    <w:rsid w:val="002F700A"/>
    <w:rsid w:val="003003E5"/>
    <w:rsid w:val="00300D42"/>
    <w:rsid w:val="00301E0D"/>
    <w:rsid w:val="003021CE"/>
    <w:rsid w:val="0030577F"/>
    <w:rsid w:val="003116AF"/>
    <w:rsid w:val="003118B8"/>
    <w:rsid w:val="0031740D"/>
    <w:rsid w:val="00322CB3"/>
    <w:rsid w:val="003259C5"/>
    <w:rsid w:val="00333D03"/>
    <w:rsid w:val="0033486B"/>
    <w:rsid w:val="003407CB"/>
    <w:rsid w:val="00350C7E"/>
    <w:rsid w:val="00355F76"/>
    <w:rsid w:val="00362D04"/>
    <w:rsid w:val="003634E5"/>
    <w:rsid w:val="00363527"/>
    <w:rsid w:val="00364B98"/>
    <w:rsid w:val="003677DC"/>
    <w:rsid w:val="00374450"/>
    <w:rsid w:val="0037504D"/>
    <w:rsid w:val="00377B3A"/>
    <w:rsid w:val="00380D78"/>
    <w:rsid w:val="003857D0"/>
    <w:rsid w:val="0039111D"/>
    <w:rsid w:val="00391FC3"/>
    <w:rsid w:val="00393FB7"/>
    <w:rsid w:val="00396680"/>
    <w:rsid w:val="00397CAB"/>
    <w:rsid w:val="00397F40"/>
    <w:rsid w:val="003B0420"/>
    <w:rsid w:val="003D1327"/>
    <w:rsid w:val="003D7F09"/>
    <w:rsid w:val="003E0D71"/>
    <w:rsid w:val="003E0D92"/>
    <w:rsid w:val="003E3CC3"/>
    <w:rsid w:val="003F1FA5"/>
    <w:rsid w:val="003F56D9"/>
    <w:rsid w:val="00411135"/>
    <w:rsid w:val="00413B23"/>
    <w:rsid w:val="00414AD7"/>
    <w:rsid w:val="004156A3"/>
    <w:rsid w:val="004204BB"/>
    <w:rsid w:val="00424CEB"/>
    <w:rsid w:val="0042598D"/>
    <w:rsid w:val="00432BB0"/>
    <w:rsid w:val="004366F7"/>
    <w:rsid w:val="00436F6C"/>
    <w:rsid w:val="0045387B"/>
    <w:rsid w:val="0045535C"/>
    <w:rsid w:val="00456007"/>
    <w:rsid w:val="004673C2"/>
    <w:rsid w:val="0047031C"/>
    <w:rsid w:val="00471E97"/>
    <w:rsid w:val="0048628C"/>
    <w:rsid w:val="00487349"/>
    <w:rsid w:val="00490F65"/>
    <w:rsid w:val="00495E41"/>
    <w:rsid w:val="004A7EC0"/>
    <w:rsid w:val="004B075B"/>
    <w:rsid w:val="004B22FB"/>
    <w:rsid w:val="004B3F9C"/>
    <w:rsid w:val="004B4E4D"/>
    <w:rsid w:val="004B51FC"/>
    <w:rsid w:val="004C44A1"/>
    <w:rsid w:val="004C52E3"/>
    <w:rsid w:val="004C6303"/>
    <w:rsid w:val="004D44D9"/>
    <w:rsid w:val="004D4F86"/>
    <w:rsid w:val="004E3077"/>
    <w:rsid w:val="004E3BD1"/>
    <w:rsid w:val="004E6672"/>
    <w:rsid w:val="005119D2"/>
    <w:rsid w:val="005150E8"/>
    <w:rsid w:val="0051766F"/>
    <w:rsid w:val="00520CB5"/>
    <w:rsid w:val="00522B4F"/>
    <w:rsid w:val="00524C74"/>
    <w:rsid w:val="00526F85"/>
    <w:rsid w:val="005300AA"/>
    <w:rsid w:val="0053250E"/>
    <w:rsid w:val="00532E26"/>
    <w:rsid w:val="00535162"/>
    <w:rsid w:val="00535A98"/>
    <w:rsid w:val="00536C7F"/>
    <w:rsid w:val="00550C6B"/>
    <w:rsid w:val="00552D34"/>
    <w:rsid w:val="005544A2"/>
    <w:rsid w:val="00554B29"/>
    <w:rsid w:val="00556AF9"/>
    <w:rsid w:val="00562FF0"/>
    <w:rsid w:val="00563ABA"/>
    <w:rsid w:val="00563C22"/>
    <w:rsid w:val="00564AED"/>
    <w:rsid w:val="00566651"/>
    <w:rsid w:val="00572E25"/>
    <w:rsid w:val="005747F6"/>
    <w:rsid w:val="00576726"/>
    <w:rsid w:val="0057730D"/>
    <w:rsid w:val="00577A1F"/>
    <w:rsid w:val="00581794"/>
    <w:rsid w:val="00582A5B"/>
    <w:rsid w:val="005847F6"/>
    <w:rsid w:val="00592802"/>
    <w:rsid w:val="005A04B4"/>
    <w:rsid w:val="005A2F09"/>
    <w:rsid w:val="005A36AA"/>
    <w:rsid w:val="005A4651"/>
    <w:rsid w:val="005A718D"/>
    <w:rsid w:val="005B549A"/>
    <w:rsid w:val="005B5B2B"/>
    <w:rsid w:val="005B6680"/>
    <w:rsid w:val="005C66BF"/>
    <w:rsid w:val="005E42FB"/>
    <w:rsid w:val="005E4AE6"/>
    <w:rsid w:val="005F15D2"/>
    <w:rsid w:val="005F4293"/>
    <w:rsid w:val="005F5936"/>
    <w:rsid w:val="0060666F"/>
    <w:rsid w:val="006127B0"/>
    <w:rsid w:val="0061478C"/>
    <w:rsid w:val="0061482D"/>
    <w:rsid w:val="00614AD8"/>
    <w:rsid w:val="00621ED8"/>
    <w:rsid w:val="006264B5"/>
    <w:rsid w:val="00626CFB"/>
    <w:rsid w:val="00633559"/>
    <w:rsid w:val="006351DA"/>
    <w:rsid w:val="00652A6F"/>
    <w:rsid w:val="00652D19"/>
    <w:rsid w:val="006534E8"/>
    <w:rsid w:val="0066072C"/>
    <w:rsid w:val="00663A1F"/>
    <w:rsid w:val="006652A5"/>
    <w:rsid w:val="00674609"/>
    <w:rsid w:val="006756A5"/>
    <w:rsid w:val="00680836"/>
    <w:rsid w:val="00687FC4"/>
    <w:rsid w:val="00693984"/>
    <w:rsid w:val="006A2049"/>
    <w:rsid w:val="006A350A"/>
    <w:rsid w:val="006A66EC"/>
    <w:rsid w:val="006B591D"/>
    <w:rsid w:val="006E06DB"/>
    <w:rsid w:val="006E06F7"/>
    <w:rsid w:val="006E3282"/>
    <w:rsid w:val="006E3AE1"/>
    <w:rsid w:val="006E49B8"/>
    <w:rsid w:val="00701B9C"/>
    <w:rsid w:val="00701BA7"/>
    <w:rsid w:val="007039D6"/>
    <w:rsid w:val="007073E8"/>
    <w:rsid w:val="00714459"/>
    <w:rsid w:val="00726217"/>
    <w:rsid w:val="00726705"/>
    <w:rsid w:val="007275DC"/>
    <w:rsid w:val="00731AF4"/>
    <w:rsid w:val="007347E1"/>
    <w:rsid w:val="007403F7"/>
    <w:rsid w:val="00742CD2"/>
    <w:rsid w:val="007430C9"/>
    <w:rsid w:val="0074312F"/>
    <w:rsid w:val="00750254"/>
    <w:rsid w:val="00752121"/>
    <w:rsid w:val="00752B1C"/>
    <w:rsid w:val="00756848"/>
    <w:rsid w:val="007572B7"/>
    <w:rsid w:val="0076341A"/>
    <w:rsid w:val="00765EC7"/>
    <w:rsid w:val="00770D3B"/>
    <w:rsid w:val="00774284"/>
    <w:rsid w:val="00782762"/>
    <w:rsid w:val="007A287E"/>
    <w:rsid w:val="007A6830"/>
    <w:rsid w:val="007B0D74"/>
    <w:rsid w:val="007B4308"/>
    <w:rsid w:val="007C0941"/>
    <w:rsid w:val="007C361B"/>
    <w:rsid w:val="007C3E66"/>
    <w:rsid w:val="007D2325"/>
    <w:rsid w:val="007D3ADB"/>
    <w:rsid w:val="007E79AD"/>
    <w:rsid w:val="007F30DA"/>
    <w:rsid w:val="007F410B"/>
    <w:rsid w:val="007F416E"/>
    <w:rsid w:val="007F7D1B"/>
    <w:rsid w:val="0080114E"/>
    <w:rsid w:val="0080229F"/>
    <w:rsid w:val="0080521D"/>
    <w:rsid w:val="00807CB8"/>
    <w:rsid w:val="008106B6"/>
    <w:rsid w:val="0081256D"/>
    <w:rsid w:val="00812E00"/>
    <w:rsid w:val="008154D6"/>
    <w:rsid w:val="008205AA"/>
    <w:rsid w:val="00826BE0"/>
    <w:rsid w:val="00830881"/>
    <w:rsid w:val="00832DD1"/>
    <w:rsid w:val="00833DA4"/>
    <w:rsid w:val="00842117"/>
    <w:rsid w:val="00842CF3"/>
    <w:rsid w:val="00845F96"/>
    <w:rsid w:val="00853E4E"/>
    <w:rsid w:val="00860135"/>
    <w:rsid w:val="0086269D"/>
    <w:rsid w:val="0086546F"/>
    <w:rsid w:val="008661DF"/>
    <w:rsid w:val="008664DA"/>
    <w:rsid w:val="00874726"/>
    <w:rsid w:val="008764BE"/>
    <w:rsid w:val="00886C51"/>
    <w:rsid w:val="00892460"/>
    <w:rsid w:val="008A14DC"/>
    <w:rsid w:val="008A400F"/>
    <w:rsid w:val="008A4A61"/>
    <w:rsid w:val="008A634B"/>
    <w:rsid w:val="008B2399"/>
    <w:rsid w:val="008B45A3"/>
    <w:rsid w:val="008B47CB"/>
    <w:rsid w:val="008C1D9C"/>
    <w:rsid w:val="008C1ECC"/>
    <w:rsid w:val="008C5719"/>
    <w:rsid w:val="008D4E8E"/>
    <w:rsid w:val="008D5563"/>
    <w:rsid w:val="008D7AFA"/>
    <w:rsid w:val="008E0272"/>
    <w:rsid w:val="008E1BC6"/>
    <w:rsid w:val="008E1CF2"/>
    <w:rsid w:val="008E24D9"/>
    <w:rsid w:val="008E425A"/>
    <w:rsid w:val="008E474C"/>
    <w:rsid w:val="008E6B0D"/>
    <w:rsid w:val="008F0BEC"/>
    <w:rsid w:val="008F258A"/>
    <w:rsid w:val="008F25A1"/>
    <w:rsid w:val="008F5408"/>
    <w:rsid w:val="008F669B"/>
    <w:rsid w:val="00903D7D"/>
    <w:rsid w:val="009068AF"/>
    <w:rsid w:val="00907148"/>
    <w:rsid w:val="00907667"/>
    <w:rsid w:val="009117DD"/>
    <w:rsid w:val="00911941"/>
    <w:rsid w:val="00911DFE"/>
    <w:rsid w:val="009122B6"/>
    <w:rsid w:val="009123F6"/>
    <w:rsid w:val="00916F00"/>
    <w:rsid w:val="00920D67"/>
    <w:rsid w:val="009210BE"/>
    <w:rsid w:val="009214A4"/>
    <w:rsid w:val="0092500D"/>
    <w:rsid w:val="0092689E"/>
    <w:rsid w:val="00931A66"/>
    <w:rsid w:val="009434E8"/>
    <w:rsid w:val="00951CEC"/>
    <w:rsid w:val="00955C51"/>
    <w:rsid w:val="0095624A"/>
    <w:rsid w:val="00967E41"/>
    <w:rsid w:val="009701EF"/>
    <w:rsid w:val="00971045"/>
    <w:rsid w:val="00972007"/>
    <w:rsid w:val="009737EE"/>
    <w:rsid w:val="00981C40"/>
    <w:rsid w:val="00986E6D"/>
    <w:rsid w:val="00986FE1"/>
    <w:rsid w:val="00987273"/>
    <w:rsid w:val="0099498C"/>
    <w:rsid w:val="009A303F"/>
    <w:rsid w:val="009B1411"/>
    <w:rsid w:val="009B1B3A"/>
    <w:rsid w:val="009B5CB8"/>
    <w:rsid w:val="009B68C3"/>
    <w:rsid w:val="009C3AB8"/>
    <w:rsid w:val="009C433B"/>
    <w:rsid w:val="009C7864"/>
    <w:rsid w:val="009E17D7"/>
    <w:rsid w:val="009F3818"/>
    <w:rsid w:val="00A0294B"/>
    <w:rsid w:val="00A03A9B"/>
    <w:rsid w:val="00A12E9F"/>
    <w:rsid w:val="00A130BE"/>
    <w:rsid w:val="00A203BA"/>
    <w:rsid w:val="00A22E82"/>
    <w:rsid w:val="00A23E67"/>
    <w:rsid w:val="00A3618D"/>
    <w:rsid w:val="00A44725"/>
    <w:rsid w:val="00A44A3E"/>
    <w:rsid w:val="00A557A5"/>
    <w:rsid w:val="00A620E4"/>
    <w:rsid w:val="00A66F41"/>
    <w:rsid w:val="00A70B4D"/>
    <w:rsid w:val="00A729DF"/>
    <w:rsid w:val="00A77765"/>
    <w:rsid w:val="00A82F1F"/>
    <w:rsid w:val="00A84865"/>
    <w:rsid w:val="00A85916"/>
    <w:rsid w:val="00A95307"/>
    <w:rsid w:val="00A9717B"/>
    <w:rsid w:val="00AB09AD"/>
    <w:rsid w:val="00AB1C29"/>
    <w:rsid w:val="00AB544A"/>
    <w:rsid w:val="00AB740F"/>
    <w:rsid w:val="00AB78BA"/>
    <w:rsid w:val="00AC14FB"/>
    <w:rsid w:val="00AC5491"/>
    <w:rsid w:val="00AD0AA4"/>
    <w:rsid w:val="00AD0CF3"/>
    <w:rsid w:val="00AD1F74"/>
    <w:rsid w:val="00AD4681"/>
    <w:rsid w:val="00AE1715"/>
    <w:rsid w:val="00AE1897"/>
    <w:rsid w:val="00AE7289"/>
    <w:rsid w:val="00AE72EE"/>
    <w:rsid w:val="00AF08C3"/>
    <w:rsid w:val="00AF33D2"/>
    <w:rsid w:val="00AF6713"/>
    <w:rsid w:val="00B03803"/>
    <w:rsid w:val="00B050D8"/>
    <w:rsid w:val="00B05887"/>
    <w:rsid w:val="00B133ED"/>
    <w:rsid w:val="00B13D46"/>
    <w:rsid w:val="00B21147"/>
    <w:rsid w:val="00B21C7A"/>
    <w:rsid w:val="00B27566"/>
    <w:rsid w:val="00B27F5E"/>
    <w:rsid w:val="00B303AE"/>
    <w:rsid w:val="00B30B12"/>
    <w:rsid w:val="00B317D0"/>
    <w:rsid w:val="00B3596F"/>
    <w:rsid w:val="00B51213"/>
    <w:rsid w:val="00B51D26"/>
    <w:rsid w:val="00B54EC3"/>
    <w:rsid w:val="00B55F8B"/>
    <w:rsid w:val="00B6094D"/>
    <w:rsid w:val="00B63212"/>
    <w:rsid w:val="00B634A1"/>
    <w:rsid w:val="00B67042"/>
    <w:rsid w:val="00B73C49"/>
    <w:rsid w:val="00B754B9"/>
    <w:rsid w:val="00B77956"/>
    <w:rsid w:val="00B80FBC"/>
    <w:rsid w:val="00B81140"/>
    <w:rsid w:val="00B94260"/>
    <w:rsid w:val="00BA2E8F"/>
    <w:rsid w:val="00BA6AF8"/>
    <w:rsid w:val="00BB1521"/>
    <w:rsid w:val="00BB2829"/>
    <w:rsid w:val="00BB2A9C"/>
    <w:rsid w:val="00BC41BB"/>
    <w:rsid w:val="00BC5AC0"/>
    <w:rsid w:val="00BC5EED"/>
    <w:rsid w:val="00BC7FAA"/>
    <w:rsid w:val="00BE55C0"/>
    <w:rsid w:val="00BF0DD5"/>
    <w:rsid w:val="00C01B99"/>
    <w:rsid w:val="00C028A5"/>
    <w:rsid w:val="00C0542C"/>
    <w:rsid w:val="00C1238F"/>
    <w:rsid w:val="00C128EF"/>
    <w:rsid w:val="00C12D17"/>
    <w:rsid w:val="00C15D05"/>
    <w:rsid w:val="00C2376E"/>
    <w:rsid w:val="00C25989"/>
    <w:rsid w:val="00C25C2B"/>
    <w:rsid w:val="00C25C67"/>
    <w:rsid w:val="00C343A5"/>
    <w:rsid w:val="00C406FC"/>
    <w:rsid w:val="00C416AA"/>
    <w:rsid w:val="00C44617"/>
    <w:rsid w:val="00C50852"/>
    <w:rsid w:val="00C62177"/>
    <w:rsid w:val="00C65DD8"/>
    <w:rsid w:val="00C66669"/>
    <w:rsid w:val="00C7095B"/>
    <w:rsid w:val="00C70DBB"/>
    <w:rsid w:val="00C8231B"/>
    <w:rsid w:val="00C8420D"/>
    <w:rsid w:val="00C93DF3"/>
    <w:rsid w:val="00C954C9"/>
    <w:rsid w:val="00CA6AB7"/>
    <w:rsid w:val="00CA76D8"/>
    <w:rsid w:val="00CA77BE"/>
    <w:rsid w:val="00CB137F"/>
    <w:rsid w:val="00CB13A6"/>
    <w:rsid w:val="00CB591E"/>
    <w:rsid w:val="00CB69AA"/>
    <w:rsid w:val="00CB7FEA"/>
    <w:rsid w:val="00CC749A"/>
    <w:rsid w:val="00CD373B"/>
    <w:rsid w:val="00CE0699"/>
    <w:rsid w:val="00CE1967"/>
    <w:rsid w:val="00CF2590"/>
    <w:rsid w:val="00CF63AF"/>
    <w:rsid w:val="00D01331"/>
    <w:rsid w:val="00D07A02"/>
    <w:rsid w:val="00D164AB"/>
    <w:rsid w:val="00D173F2"/>
    <w:rsid w:val="00D17B97"/>
    <w:rsid w:val="00D22E3B"/>
    <w:rsid w:val="00D2354F"/>
    <w:rsid w:val="00D26A42"/>
    <w:rsid w:val="00D26CCE"/>
    <w:rsid w:val="00D43736"/>
    <w:rsid w:val="00D44BCD"/>
    <w:rsid w:val="00D44C4F"/>
    <w:rsid w:val="00D46073"/>
    <w:rsid w:val="00D5223C"/>
    <w:rsid w:val="00D553B2"/>
    <w:rsid w:val="00D56F51"/>
    <w:rsid w:val="00D576B6"/>
    <w:rsid w:val="00D60291"/>
    <w:rsid w:val="00D602EE"/>
    <w:rsid w:val="00D617B2"/>
    <w:rsid w:val="00D62791"/>
    <w:rsid w:val="00D627BA"/>
    <w:rsid w:val="00D71EA1"/>
    <w:rsid w:val="00D7434E"/>
    <w:rsid w:val="00D84CE9"/>
    <w:rsid w:val="00D85619"/>
    <w:rsid w:val="00D856AD"/>
    <w:rsid w:val="00D8709D"/>
    <w:rsid w:val="00D87C03"/>
    <w:rsid w:val="00D92659"/>
    <w:rsid w:val="00D93811"/>
    <w:rsid w:val="00D979BE"/>
    <w:rsid w:val="00DA4C05"/>
    <w:rsid w:val="00DA763F"/>
    <w:rsid w:val="00DB6EAE"/>
    <w:rsid w:val="00DC2BD8"/>
    <w:rsid w:val="00DC4488"/>
    <w:rsid w:val="00DC5CE3"/>
    <w:rsid w:val="00DC7CAD"/>
    <w:rsid w:val="00DD4C0E"/>
    <w:rsid w:val="00DD775C"/>
    <w:rsid w:val="00DE5298"/>
    <w:rsid w:val="00DE637F"/>
    <w:rsid w:val="00DF1662"/>
    <w:rsid w:val="00DF4C1B"/>
    <w:rsid w:val="00DF5E76"/>
    <w:rsid w:val="00DF631B"/>
    <w:rsid w:val="00DF7CA5"/>
    <w:rsid w:val="00E0221A"/>
    <w:rsid w:val="00E05EAC"/>
    <w:rsid w:val="00E11825"/>
    <w:rsid w:val="00E123B0"/>
    <w:rsid w:val="00E217D0"/>
    <w:rsid w:val="00E23642"/>
    <w:rsid w:val="00E23899"/>
    <w:rsid w:val="00E3018A"/>
    <w:rsid w:val="00E3118B"/>
    <w:rsid w:val="00E33570"/>
    <w:rsid w:val="00E35298"/>
    <w:rsid w:val="00E3586B"/>
    <w:rsid w:val="00E40752"/>
    <w:rsid w:val="00E40AA4"/>
    <w:rsid w:val="00E51B1D"/>
    <w:rsid w:val="00E5214D"/>
    <w:rsid w:val="00E606C8"/>
    <w:rsid w:val="00E6301A"/>
    <w:rsid w:val="00E6367E"/>
    <w:rsid w:val="00E661A6"/>
    <w:rsid w:val="00E71870"/>
    <w:rsid w:val="00E80B55"/>
    <w:rsid w:val="00E80DCF"/>
    <w:rsid w:val="00E8290E"/>
    <w:rsid w:val="00E848A0"/>
    <w:rsid w:val="00E870BE"/>
    <w:rsid w:val="00E95AA1"/>
    <w:rsid w:val="00E96693"/>
    <w:rsid w:val="00E9722D"/>
    <w:rsid w:val="00EA275A"/>
    <w:rsid w:val="00EA2BFA"/>
    <w:rsid w:val="00EA3563"/>
    <w:rsid w:val="00EA721E"/>
    <w:rsid w:val="00EB0DEE"/>
    <w:rsid w:val="00EB12DB"/>
    <w:rsid w:val="00EB2F63"/>
    <w:rsid w:val="00EC04D3"/>
    <w:rsid w:val="00EC06B1"/>
    <w:rsid w:val="00EC745D"/>
    <w:rsid w:val="00ED08E0"/>
    <w:rsid w:val="00ED5E65"/>
    <w:rsid w:val="00ED7855"/>
    <w:rsid w:val="00EE0274"/>
    <w:rsid w:val="00EE39A1"/>
    <w:rsid w:val="00EE5912"/>
    <w:rsid w:val="00EF1252"/>
    <w:rsid w:val="00EF421D"/>
    <w:rsid w:val="00F006AD"/>
    <w:rsid w:val="00F1438E"/>
    <w:rsid w:val="00F14F1E"/>
    <w:rsid w:val="00F15D15"/>
    <w:rsid w:val="00F17BFC"/>
    <w:rsid w:val="00F20AD0"/>
    <w:rsid w:val="00F240CB"/>
    <w:rsid w:val="00F24ED0"/>
    <w:rsid w:val="00F25711"/>
    <w:rsid w:val="00F33ABF"/>
    <w:rsid w:val="00F355DE"/>
    <w:rsid w:val="00F37D86"/>
    <w:rsid w:val="00F37EF7"/>
    <w:rsid w:val="00F440DE"/>
    <w:rsid w:val="00F5195D"/>
    <w:rsid w:val="00F52B73"/>
    <w:rsid w:val="00F530E8"/>
    <w:rsid w:val="00F54837"/>
    <w:rsid w:val="00F57A8C"/>
    <w:rsid w:val="00F61DE9"/>
    <w:rsid w:val="00F635FB"/>
    <w:rsid w:val="00F72937"/>
    <w:rsid w:val="00F729DA"/>
    <w:rsid w:val="00F7413A"/>
    <w:rsid w:val="00F90CFB"/>
    <w:rsid w:val="00F960C7"/>
    <w:rsid w:val="00FA0D15"/>
    <w:rsid w:val="00FA3155"/>
    <w:rsid w:val="00FA34B7"/>
    <w:rsid w:val="00FB1145"/>
    <w:rsid w:val="00FB20B6"/>
    <w:rsid w:val="00FB2A98"/>
    <w:rsid w:val="00FB43FD"/>
    <w:rsid w:val="00FC294A"/>
    <w:rsid w:val="00FD57F4"/>
    <w:rsid w:val="00FD74F5"/>
    <w:rsid w:val="00FE518C"/>
    <w:rsid w:val="00FE5C94"/>
    <w:rsid w:val="00FF1AE3"/>
    <w:rsid w:val="00FF5A10"/>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F96"/>
  <w15:docId w15:val="{8003AFAE-6917-4D4B-B9F5-233B49E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DA4"/>
    <w:pPr>
      <w:spacing w:after="0" w:line="240" w:lineRule="auto"/>
    </w:pPr>
    <w:rPr>
      <w:rFonts w:ascii="Arial Armenian" w:eastAsia="Times New Roman" w:hAnsi="Arial Armenian" w:cs="Sylfaen"/>
      <w:sz w:val="24"/>
      <w:szCs w:val="24"/>
      <w:lang w:val="ru-RU" w:eastAsia="ru-RU"/>
    </w:rPr>
  </w:style>
  <w:style w:type="paragraph" w:styleId="3">
    <w:name w:val="heading 3"/>
    <w:basedOn w:val="a"/>
    <w:link w:val="30"/>
    <w:uiPriority w:val="9"/>
    <w:qFormat/>
    <w:rsid w:val="00B317D0"/>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no. List Paragraph,Bullet1,References,List Paragraph (numbered (a)),IBL List Paragraph,List Paragraph nowy,Numbered List Paragraph,Akapit z listą BS,List Paragraph 1,List_Paragraph,Multilevel para_II,Абзац списка3,Bullet Points,Ha"/>
    <w:basedOn w:val="a"/>
    <w:link w:val="a4"/>
    <w:uiPriority w:val="34"/>
    <w:qFormat/>
    <w:rsid w:val="00833DA4"/>
    <w:pPr>
      <w:ind w:left="720"/>
      <w:contextualSpacing/>
    </w:pPr>
  </w:style>
  <w:style w:type="paragraph" w:styleId="a5">
    <w:name w:val="Balloon Text"/>
    <w:basedOn w:val="a"/>
    <w:link w:val="a6"/>
    <w:uiPriority w:val="99"/>
    <w:semiHidden/>
    <w:unhideWhenUsed/>
    <w:rsid w:val="004A7EC0"/>
    <w:rPr>
      <w:rFonts w:ascii="Tahoma" w:hAnsi="Tahoma" w:cs="Tahoma"/>
      <w:sz w:val="16"/>
      <w:szCs w:val="16"/>
    </w:rPr>
  </w:style>
  <w:style w:type="character" w:customStyle="1" w:styleId="a6">
    <w:name w:val="Текст выноски Знак"/>
    <w:basedOn w:val="a0"/>
    <w:link w:val="a5"/>
    <w:uiPriority w:val="99"/>
    <w:semiHidden/>
    <w:rsid w:val="004A7EC0"/>
    <w:rPr>
      <w:rFonts w:ascii="Tahoma" w:eastAsia="Times New Roman" w:hAnsi="Tahoma" w:cs="Tahoma"/>
      <w:sz w:val="16"/>
      <w:szCs w:val="16"/>
      <w:lang w:val="ru-RU" w:eastAsia="ru-RU"/>
    </w:rPr>
  </w:style>
  <w:style w:type="paragraph" w:styleId="a7">
    <w:name w:val="No Spacing"/>
    <w:link w:val="a8"/>
    <w:uiPriority w:val="1"/>
    <w:qFormat/>
    <w:rsid w:val="00E40752"/>
    <w:pPr>
      <w:spacing w:after="0" w:line="240" w:lineRule="auto"/>
    </w:pPr>
    <w:rPr>
      <w:rFonts w:ascii="GHEA Grapalat" w:eastAsia="GHEA Mariam" w:hAnsi="GHEA Grapalat" w:cs="Times New Roman"/>
      <w:sz w:val="12"/>
      <w:szCs w:val="12"/>
      <w:lang w:val="ru-RU"/>
    </w:rPr>
  </w:style>
  <w:style w:type="paragraph" w:styleId="a9">
    <w:name w:val="Plain Text"/>
    <w:basedOn w:val="a"/>
    <w:link w:val="aa"/>
    <w:uiPriority w:val="99"/>
    <w:unhideWhenUsed/>
    <w:rsid w:val="00E40752"/>
    <w:rPr>
      <w:rFonts w:ascii="Consolas" w:eastAsia="Calibri" w:hAnsi="Consolas" w:cs="Times New Roman"/>
      <w:sz w:val="21"/>
      <w:szCs w:val="21"/>
      <w:lang w:val="en-US" w:eastAsia="en-US"/>
    </w:rPr>
  </w:style>
  <w:style w:type="character" w:customStyle="1" w:styleId="aa">
    <w:name w:val="Текст Знак"/>
    <w:basedOn w:val="a0"/>
    <w:link w:val="a9"/>
    <w:uiPriority w:val="99"/>
    <w:rsid w:val="00E40752"/>
    <w:rPr>
      <w:rFonts w:ascii="Consolas" w:eastAsia="Calibri" w:hAnsi="Consolas" w:cs="Times New Roman"/>
      <w:sz w:val="21"/>
      <w:szCs w:val="21"/>
    </w:rPr>
  </w:style>
  <w:style w:type="character" w:customStyle="1" w:styleId="a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3"/>
    <w:uiPriority w:val="34"/>
    <w:qFormat/>
    <w:locked/>
    <w:rsid w:val="00263C15"/>
    <w:rPr>
      <w:rFonts w:ascii="Arial Armenian" w:eastAsia="Times New Roman" w:hAnsi="Arial Armenian" w:cs="Sylfaen"/>
      <w:sz w:val="24"/>
      <w:szCs w:val="24"/>
      <w:lang w:val="ru-RU" w:eastAsia="ru-RU"/>
    </w:rPr>
  </w:style>
  <w:style w:type="paragraph" w:styleId="ab">
    <w:name w:val="Body Text Indent"/>
    <w:basedOn w:val="a"/>
    <w:link w:val="ac"/>
    <w:uiPriority w:val="99"/>
    <w:unhideWhenUsed/>
    <w:rsid w:val="006652A5"/>
    <w:pPr>
      <w:spacing w:after="120"/>
      <w:ind w:left="283"/>
    </w:pPr>
  </w:style>
  <w:style w:type="character" w:customStyle="1" w:styleId="ac">
    <w:name w:val="Основной текст с отступом Знак"/>
    <w:basedOn w:val="a0"/>
    <w:link w:val="ab"/>
    <w:uiPriority w:val="99"/>
    <w:rsid w:val="006652A5"/>
    <w:rPr>
      <w:rFonts w:ascii="Arial Armenian" w:eastAsia="Times New Roman" w:hAnsi="Arial Armenian" w:cs="Sylfaen"/>
      <w:sz w:val="24"/>
      <w:szCs w:val="24"/>
      <w:lang w:val="ru-RU" w:eastAsia="ru-RU"/>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Знак, webb,Char Char Char,Char Char Char Char"/>
    <w:basedOn w:val="a"/>
    <w:link w:val="ae"/>
    <w:uiPriority w:val="99"/>
    <w:unhideWhenUsed/>
    <w:qFormat/>
    <w:rsid w:val="001F0C61"/>
    <w:pPr>
      <w:spacing w:before="100" w:beforeAutospacing="1" w:after="100" w:afterAutospacing="1"/>
    </w:pPr>
    <w:rPr>
      <w:rFonts w:ascii="Times New Roman" w:hAnsi="Times New Roman" w:cs="Times New Roman"/>
      <w:lang w:val="hy-AM" w:eastAsia="hy-AM"/>
    </w:rPr>
  </w:style>
  <w:style w:type="character" w:customStyle="1" w:styleId="ae">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 webb Знак,Char Char Char Знак"/>
    <w:link w:val="ad"/>
    <w:uiPriority w:val="99"/>
    <w:locked/>
    <w:rsid w:val="001F0C61"/>
    <w:rPr>
      <w:rFonts w:ascii="Times New Roman" w:eastAsia="Times New Roman" w:hAnsi="Times New Roman" w:cs="Times New Roman"/>
      <w:sz w:val="24"/>
      <w:szCs w:val="24"/>
      <w:lang w:val="hy-AM" w:eastAsia="hy-AM"/>
    </w:rPr>
  </w:style>
  <w:style w:type="character" w:customStyle="1" w:styleId="mechtexChar">
    <w:name w:val="mechtex Char"/>
    <w:basedOn w:val="a0"/>
    <w:link w:val="mechtex"/>
    <w:locked/>
    <w:rsid w:val="00432BB0"/>
    <w:rPr>
      <w:rFonts w:ascii="Arial Armenian" w:eastAsia="Times New Roman" w:hAnsi="Arial Armenian" w:cs="Times New Roman"/>
      <w:szCs w:val="20"/>
      <w:lang w:eastAsia="ru-RU"/>
    </w:rPr>
  </w:style>
  <w:style w:type="paragraph" w:customStyle="1" w:styleId="mechtex">
    <w:name w:val="mechtex"/>
    <w:basedOn w:val="a"/>
    <w:link w:val="mechtexChar"/>
    <w:qFormat/>
    <w:rsid w:val="00432BB0"/>
    <w:pPr>
      <w:jc w:val="center"/>
    </w:pPr>
    <w:rPr>
      <w:rFonts w:cs="Times New Roman"/>
      <w:sz w:val="22"/>
      <w:szCs w:val="20"/>
      <w:lang w:val="en-US"/>
    </w:rPr>
  </w:style>
  <w:style w:type="paragraph" w:customStyle="1" w:styleId="Default">
    <w:name w:val="Default"/>
    <w:rsid w:val="008B2399"/>
    <w:pPr>
      <w:autoSpaceDE w:val="0"/>
      <w:autoSpaceDN w:val="0"/>
      <w:adjustRightInd w:val="0"/>
      <w:spacing w:after="0" w:line="240" w:lineRule="auto"/>
    </w:pPr>
    <w:rPr>
      <w:rFonts w:ascii="GHEA Grapalat" w:eastAsia="Calibri" w:hAnsi="GHEA Grapalat" w:cs="GHEA Grapalat"/>
      <w:color w:val="000000"/>
      <w:sz w:val="24"/>
      <w:szCs w:val="24"/>
    </w:rPr>
  </w:style>
  <w:style w:type="paragraph" w:customStyle="1" w:styleId="1">
    <w:name w:val="Абзац списка1"/>
    <w:aliases w:val="List Paragraph1,Bullets,List Paragraph-ExecSummary,Liste 1"/>
    <w:basedOn w:val="a"/>
    <w:qFormat/>
    <w:rsid w:val="005300AA"/>
    <w:pPr>
      <w:spacing w:after="200" w:line="276" w:lineRule="auto"/>
      <w:ind w:left="720"/>
      <w:contextualSpacing/>
    </w:pPr>
    <w:rPr>
      <w:rFonts w:ascii="Calibri" w:hAnsi="Calibri" w:cs="Times New Roman"/>
      <w:sz w:val="22"/>
      <w:szCs w:val="22"/>
    </w:rPr>
  </w:style>
  <w:style w:type="character" w:styleId="af">
    <w:name w:val="Strong"/>
    <w:basedOn w:val="a0"/>
    <w:uiPriority w:val="22"/>
    <w:qFormat/>
    <w:rsid w:val="005300AA"/>
    <w:rPr>
      <w:b/>
      <w:bCs/>
    </w:rPr>
  </w:style>
  <w:style w:type="character" w:customStyle="1" w:styleId="2">
    <w:name w:val="Основной текст (2)"/>
    <w:basedOn w:val="a0"/>
    <w:rsid w:val="00490F6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af0">
    <w:name w:val="header"/>
    <w:basedOn w:val="a"/>
    <w:link w:val="af1"/>
    <w:uiPriority w:val="99"/>
    <w:unhideWhenUsed/>
    <w:rsid w:val="00D01331"/>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af1">
    <w:name w:val="Верхний колонтитул Знак"/>
    <w:basedOn w:val="a0"/>
    <w:link w:val="af0"/>
    <w:uiPriority w:val="99"/>
    <w:rsid w:val="00D01331"/>
  </w:style>
  <w:style w:type="paragraph" w:styleId="af2">
    <w:name w:val="footer"/>
    <w:basedOn w:val="a"/>
    <w:link w:val="af3"/>
    <w:uiPriority w:val="99"/>
    <w:semiHidden/>
    <w:unhideWhenUsed/>
    <w:rsid w:val="001428E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f3">
    <w:name w:val="Нижний колонтитул Знак"/>
    <w:basedOn w:val="a0"/>
    <w:link w:val="af2"/>
    <w:uiPriority w:val="99"/>
    <w:semiHidden/>
    <w:rsid w:val="001428E7"/>
  </w:style>
  <w:style w:type="character" w:customStyle="1" w:styleId="normaltextrun">
    <w:name w:val="normaltextrun"/>
    <w:basedOn w:val="a0"/>
    <w:rsid w:val="001428E7"/>
  </w:style>
  <w:style w:type="paragraph" w:styleId="af4">
    <w:name w:val="Body Text"/>
    <w:basedOn w:val="a"/>
    <w:link w:val="af5"/>
    <w:uiPriority w:val="99"/>
    <w:semiHidden/>
    <w:unhideWhenUsed/>
    <w:rsid w:val="00931A66"/>
    <w:pPr>
      <w:spacing w:after="120"/>
    </w:pPr>
  </w:style>
  <w:style w:type="character" w:customStyle="1" w:styleId="af5">
    <w:name w:val="Основной текст Знак"/>
    <w:basedOn w:val="a0"/>
    <w:link w:val="af4"/>
    <w:uiPriority w:val="99"/>
    <w:semiHidden/>
    <w:rsid w:val="00931A66"/>
    <w:rPr>
      <w:rFonts w:ascii="Arial Armenian" w:eastAsia="Times New Roman" w:hAnsi="Arial Armenian" w:cs="Sylfaen"/>
      <w:sz w:val="24"/>
      <w:szCs w:val="24"/>
      <w:lang w:val="ru-RU" w:eastAsia="ru-RU"/>
    </w:rPr>
  </w:style>
  <w:style w:type="character" w:customStyle="1" w:styleId="30">
    <w:name w:val="Заголовок 3 Знак"/>
    <w:basedOn w:val="a0"/>
    <w:link w:val="3"/>
    <w:uiPriority w:val="9"/>
    <w:rsid w:val="00B317D0"/>
    <w:rPr>
      <w:rFonts w:ascii="Times New Roman" w:eastAsia="Times New Roman" w:hAnsi="Times New Roman" w:cs="Times New Roman"/>
      <w:b/>
      <w:bCs/>
      <w:sz w:val="27"/>
      <w:szCs w:val="27"/>
      <w:lang w:val="ru-RU" w:eastAsia="ru-RU"/>
    </w:rPr>
  </w:style>
  <w:style w:type="character" w:customStyle="1" w:styleId="a8">
    <w:name w:val="Без интервала Знак"/>
    <w:link w:val="a7"/>
    <w:uiPriority w:val="1"/>
    <w:rsid w:val="0042598D"/>
    <w:rPr>
      <w:rFonts w:ascii="GHEA Grapalat" w:eastAsia="GHEA Mariam" w:hAnsi="GHEA Grapalat" w:cs="Times New Roman"/>
      <w:sz w:val="12"/>
      <w:szCs w:val="12"/>
      <w:lang w:val="ru-RU"/>
    </w:rPr>
  </w:style>
  <w:style w:type="character" w:styleId="af6">
    <w:name w:val="Hyperlink"/>
    <w:basedOn w:val="a0"/>
    <w:uiPriority w:val="99"/>
    <w:unhideWhenUsed/>
    <w:rsid w:val="00C62177"/>
    <w:rPr>
      <w:color w:val="0000FF" w:themeColor="hyperlink"/>
      <w:u w:val="single"/>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 Paragraph2 Char"/>
    <w:uiPriority w:val="34"/>
    <w:qFormat/>
    <w:locked/>
    <w:rsid w:val="00F57A8C"/>
    <w:rPr>
      <w:rFonts w:ascii="Calibri" w:eastAsia="Times New Roman" w:hAnsi="Calibri" w:cs="Times New Roman"/>
      <w:sz w:val="20"/>
      <w:szCs w:val="20"/>
      <w:lang w:val="en-US"/>
    </w:rPr>
  </w:style>
  <w:style w:type="paragraph" w:styleId="20">
    <w:name w:val="Body Text Indent 2"/>
    <w:basedOn w:val="a"/>
    <w:link w:val="21"/>
    <w:uiPriority w:val="99"/>
    <w:semiHidden/>
    <w:unhideWhenUsed/>
    <w:rsid w:val="00955C51"/>
    <w:pPr>
      <w:spacing w:after="120" w:line="480" w:lineRule="auto"/>
      <w:ind w:left="283"/>
    </w:pPr>
  </w:style>
  <w:style w:type="character" w:customStyle="1" w:styleId="21">
    <w:name w:val="Основной текст с отступом 2 Знак"/>
    <w:basedOn w:val="a0"/>
    <w:link w:val="20"/>
    <w:uiPriority w:val="99"/>
    <w:semiHidden/>
    <w:rsid w:val="00955C51"/>
    <w:rPr>
      <w:rFonts w:ascii="Arial Armenian" w:eastAsia="Times New Roman" w:hAnsi="Arial Armenian" w:cs="Sylfaen"/>
      <w:sz w:val="24"/>
      <w:szCs w:val="24"/>
      <w:lang w:val="ru-RU" w:eastAsia="ru-RU"/>
    </w:rPr>
  </w:style>
  <w:style w:type="paragraph" w:customStyle="1" w:styleId="10">
    <w:name w:val="Без интервала1"/>
    <w:qFormat/>
    <w:rsid w:val="003E0D71"/>
    <w:pPr>
      <w:spacing w:after="0" w:line="240" w:lineRule="auto"/>
    </w:pPr>
    <w:rPr>
      <w:rFonts w:ascii="Calibri" w:eastAsia="Times New Roman" w:hAnsi="Calibri" w:cs="Times New Roman"/>
      <w:lang w:val="ru-RU" w:eastAsia="ru-RU"/>
    </w:rPr>
  </w:style>
  <w:style w:type="paragraph" w:customStyle="1" w:styleId="paragraph">
    <w:name w:val="paragraph"/>
    <w:basedOn w:val="a"/>
    <w:uiPriority w:val="99"/>
    <w:qFormat/>
    <w:rsid w:val="00FB43FD"/>
    <w:pPr>
      <w:spacing w:before="100" w:beforeAutospacing="1" w:after="100" w:afterAutospacing="1"/>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54141">
      <w:bodyDiv w:val="1"/>
      <w:marLeft w:val="0"/>
      <w:marRight w:val="0"/>
      <w:marTop w:val="0"/>
      <w:marBottom w:val="0"/>
      <w:divBdr>
        <w:top w:val="none" w:sz="0" w:space="0" w:color="auto"/>
        <w:left w:val="none" w:sz="0" w:space="0" w:color="auto"/>
        <w:bottom w:val="none" w:sz="0" w:space="0" w:color="auto"/>
        <w:right w:val="none" w:sz="0" w:space="0" w:color="auto"/>
      </w:divBdr>
    </w:div>
    <w:div w:id="665130117">
      <w:bodyDiv w:val="1"/>
      <w:marLeft w:val="0"/>
      <w:marRight w:val="0"/>
      <w:marTop w:val="0"/>
      <w:marBottom w:val="0"/>
      <w:divBdr>
        <w:top w:val="none" w:sz="0" w:space="0" w:color="auto"/>
        <w:left w:val="none" w:sz="0" w:space="0" w:color="auto"/>
        <w:bottom w:val="none" w:sz="0" w:space="0" w:color="auto"/>
        <w:right w:val="none" w:sz="0" w:space="0" w:color="auto"/>
      </w:divBdr>
      <w:divsChild>
        <w:div w:id="528221690">
          <w:marLeft w:val="284"/>
          <w:marRight w:val="155"/>
          <w:marTop w:val="0"/>
          <w:marBottom w:val="0"/>
          <w:divBdr>
            <w:top w:val="none" w:sz="0" w:space="0" w:color="auto"/>
            <w:left w:val="none" w:sz="0" w:space="0" w:color="auto"/>
            <w:bottom w:val="none" w:sz="0" w:space="0" w:color="auto"/>
            <w:right w:val="none" w:sz="0" w:space="0" w:color="auto"/>
          </w:divBdr>
        </w:div>
        <w:div w:id="531528873">
          <w:marLeft w:val="284"/>
          <w:marRight w:val="155"/>
          <w:marTop w:val="0"/>
          <w:marBottom w:val="0"/>
          <w:divBdr>
            <w:top w:val="none" w:sz="0" w:space="0" w:color="auto"/>
            <w:left w:val="none" w:sz="0" w:space="0" w:color="auto"/>
            <w:bottom w:val="none" w:sz="0" w:space="0" w:color="auto"/>
            <w:right w:val="none" w:sz="0" w:space="0" w:color="auto"/>
          </w:divBdr>
        </w:div>
        <w:div w:id="1337924844">
          <w:marLeft w:val="284"/>
          <w:marRight w:val="155"/>
          <w:marTop w:val="0"/>
          <w:marBottom w:val="200"/>
          <w:divBdr>
            <w:top w:val="none" w:sz="0" w:space="0" w:color="auto"/>
            <w:left w:val="none" w:sz="0" w:space="0" w:color="auto"/>
            <w:bottom w:val="none" w:sz="0" w:space="0" w:color="auto"/>
            <w:right w:val="none" w:sz="0" w:space="0" w:color="auto"/>
          </w:divBdr>
        </w:div>
      </w:divsChild>
    </w:div>
    <w:div w:id="671757991">
      <w:bodyDiv w:val="1"/>
      <w:marLeft w:val="0"/>
      <w:marRight w:val="0"/>
      <w:marTop w:val="0"/>
      <w:marBottom w:val="0"/>
      <w:divBdr>
        <w:top w:val="none" w:sz="0" w:space="0" w:color="auto"/>
        <w:left w:val="none" w:sz="0" w:space="0" w:color="auto"/>
        <w:bottom w:val="none" w:sz="0" w:space="0" w:color="auto"/>
        <w:right w:val="none" w:sz="0" w:space="0" w:color="auto"/>
      </w:divBdr>
    </w:div>
    <w:div w:id="1116565046">
      <w:bodyDiv w:val="1"/>
      <w:marLeft w:val="0"/>
      <w:marRight w:val="0"/>
      <w:marTop w:val="0"/>
      <w:marBottom w:val="0"/>
      <w:divBdr>
        <w:top w:val="none" w:sz="0" w:space="0" w:color="auto"/>
        <w:left w:val="none" w:sz="0" w:space="0" w:color="auto"/>
        <w:bottom w:val="none" w:sz="0" w:space="0" w:color="auto"/>
        <w:right w:val="none" w:sz="0" w:space="0" w:color="auto"/>
      </w:divBdr>
    </w:div>
    <w:div w:id="1579707614">
      <w:bodyDiv w:val="1"/>
      <w:marLeft w:val="0"/>
      <w:marRight w:val="0"/>
      <w:marTop w:val="0"/>
      <w:marBottom w:val="0"/>
      <w:divBdr>
        <w:top w:val="none" w:sz="0" w:space="0" w:color="auto"/>
        <w:left w:val="none" w:sz="0" w:space="0" w:color="auto"/>
        <w:bottom w:val="none" w:sz="0" w:space="0" w:color="auto"/>
        <w:right w:val="none" w:sz="0" w:space="0" w:color="auto"/>
      </w:divBdr>
    </w:div>
    <w:div w:id="1876768716">
      <w:bodyDiv w:val="1"/>
      <w:marLeft w:val="0"/>
      <w:marRight w:val="0"/>
      <w:marTop w:val="0"/>
      <w:marBottom w:val="0"/>
      <w:divBdr>
        <w:top w:val="none" w:sz="0" w:space="0" w:color="auto"/>
        <w:left w:val="none" w:sz="0" w:space="0" w:color="auto"/>
        <w:bottom w:val="none" w:sz="0" w:space="0" w:color="auto"/>
        <w:right w:val="none" w:sz="0" w:space="0" w:color="auto"/>
      </w:divBdr>
    </w:div>
    <w:div w:id="19925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05B1C-C768-485B-A861-ED768A6D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5</Pages>
  <Words>1636</Words>
  <Characters>9326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Ghulyan</dc:creator>
  <cp:keywords>https://mul2-spm.gov.am/tasks/454394/oneclick?token=eac4e24d1b1e8e57d67ab644825d896c</cp:keywords>
  <dc:description/>
  <cp:lastModifiedBy>User</cp:lastModifiedBy>
  <cp:revision>356</cp:revision>
  <cp:lastPrinted>2025-01-27T12:34:00Z</cp:lastPrinted>
  <dcterms:created xsi:type="dcterms:W3CDTF">2020-12-28T07:36:00Z</dcterms:created>
  <dcterms:modified xsi:type="dcterms:W3CDTF">2025-01-30T06:15:00Z</dcterms:modified>
</cp:coreProperties>
</file>